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4"/>
        <w:gridCol w:w="896"/>
        <w:gridCol w:w="9014"/>
      </w:tblGrid>
      <w:tr w:rsidR="00D10EAD" w:rsidTr="00BB5A89">
        <w:tc>
          <w:tcPr>
            <w:tcW w:w="336" w:type="pct"/>
            <w:vMerge w:val="restart"/>
            <w:shd w:val="clear" w:color="auto" w:fill="auto"/>
            <w:tcMar>
              <w:top w:w="57" w:type="dxa"/>
              <w:bottom w:w="57" w:type="dxa"/>
            </w:tcMar>
          </w:tcPr>
          <w:p w:rsidR="00D10EAD" w:rsidRPr="00F24CC7" w:rsidRDefault="00D10EAD" w:rsidP="00914925">
            <w:pPr>
              <w:pStyle w:val="bukatabulky"/>
              <w:rPr>
                <w:b/>
              </w:rPr>
            </w:pPr>
            <w:r w:rsidRPr="00F24CC7">
              <w:rPr>
                <w:b/>
              </w:rPr>
              <w:t>§ 13</w:t>
            </w:r>
            <w:r w:rsidRPr="00F24CC7">
              <w:rPr>
                <w:b/>
              </w:rPr>
              <w:t xml:space="preserve"> odst. 2</w:t>
            </w:r>
            <w:bookmarkStart w:id="0" w:name="_GoBack"/>
            <w:bookmarkEnd w:id="0"/>
          </w:p>
        </w:tc>
        <w:tc>
          <w:tcPr>
            <w:tcW w:w="897" w:type="pct"/>
            <w:vMerge w:val="restart"/>
            <w:shd w:val="clear" w:color="auto" w:fill="auto"/>
            <w:tcMar>
              <w:top w:w="57" w:type="dxa"/>
              <w:bottom w:w="57" w:type="dxa"/>
            </w:tcMar>
          </w:tcPr>
          <w:p w:rsidR="00D10EAD" w:rsidRDefault="00D10EAD" w:rsidP="00914925">
            <w:pPr>
              <w:pStyle w:val="odstavec"/>
            </w:pPr>
            <w:r w:rsidRPr="00D10EAD">
              <w:t xml:space="preserve">(2) Podíl činností se vypočítá v souhrnu za 3 </w:t>
            </w:r>
            <w:r w:rsidRPr="00D10EAD">
              <w:rPr>
                <w:b/>
              </w:rPr>
              <w:t>individuální</w:t>
            </w:r>
            <w:r w:rsidRPr="00D10EAD">
              <w:t xml:space="preserve"> účetní období předcházející </w:t>
            </w:r>
            <w:r w:rsidRPr="00D10EAD">
              <w:rPr>
                <w:b/>
              </w:rPr>
              <w:t>individuálnímu</w:t>
            </w:r>
            <w:r w:rsidRPr="00D10EAD">
              <w:t xml:space="preserve"> účetnímu období, ve kterém došlo k uzavření smlouvy. Vznikla-li nebo zahájila-li právnická osoba příslušnou činnost později nebo došlo k reorganizaci jejích činností, postačí, že dosažení podmínek podle odstavce 1 je věrohodné, zejména na základě plánů činnosti.</w:t>
            </w:r>
          </w:p>
        </w:tc>
        <w:tc>
          <w:tcPr>
            <w:tcW w:w="479" w:type="pct"/>
            <w:shd w:val="clear" w:color="auto" w:fill="auto"/>
            <w:tcMar>
              <w:top w:w="57" w:type="dxa"/>
              <w:bottom w:w="57" w:type="dxa"/>
            </w:tcMar>
          </w:tcPr>
          <w:p w:rsidR="00D10EAD" w:rsidRDefault="00D10EAD" w:rsidP="00914925">
            <w:pPr>
              <w:pStyle w:val="bukatabulky"/>
            </w:pPr>
            <w:r>
              <w:t>32014L0025</w:t>
            </w:r>
          </w:p>
        </w:tc>
        <w:tc>
          <w:tcPr>
            <w:tcW w:w="297" w:type="pct"/>
            <w:shd w:val="clear" w:color="auto" w:fill="auto"/>
            <w:tcMar>
              <w:top w:w="57" w:type="dxa"/>
              <w:bottom w:w="57" w:type="dxa"/>
            </w:tcMar>
          </w:tcPr>
          <w:p w:rsidR="00D10EAD" w:rsidRDefault="00D10EAD" w:rsidP="00914925">
            <w:pPr>
              <w:pStyle w:val="bukatabulky"/>
            </w:pPr>
            <w:r>
              <w:t>Článek 28 odst. 5</w:t>
            </w:r>
          </w:p>
        </w:tc>
        <w:tc>
          <w:tcPr>
            <w:tcW w:w="2991" w:type="pct"/>
            <w:shd w:val="clear" w:color="auto" w:fill="auto"/>
            <w:tcMar>
              <w:top w:w="57" w:type="dxa"/>
              <w:bottom w:w="57" w:type="dxa"/>
            </w:tcMar>
          </w:tcPr>
          <w:p w:rsidR="00D10EAD" w:rsidRDefault="00D10EAD" w:rsidP="00914925">
            <w:pPr>
              <w:pStyle w:val="bukatabulky"/>
            </w:pPr>
            <w:r>
              <w:t>5.   Pro určení procentního podílu činností uvedeného výše v odst. 1 prvním pododstavci písm. b), odst. 3 prvním pododstavci písm. b) a odst. 4 písm. c) se vezme v úvahu průměrný celkový obrat nebo jiný vhodný ukazatel založený na činnosti, jako např. náklady vzniklé příslušné právnické osobě v souvislosti se službami, dodávkami a stavebními pracemi za tři roky předcházející zadání zakázky.</w:t>
            </w:r>
          </w:p>
          <w:p w:rsidR="00D10EAD" w:rsidRDefault="00D10EAD" w:rsidP="00914925">
            <w:pPr>
              <w:pStyle w:val="bukatabulky"/>
            </w:pPr>
            <w:r>
              <w:t>Pokud kvůli datu, ke kterému byla příslušná právnická osoba založena nebo zahájila činnost, nebo z důvodu reorganizace jejích činností není obrat nebo jiný ukazatel založený na činnosti, jako například náklady za předchozí tři roky, buď dostupný, nebo přestal být relevantní, postačí prokázat, zejména prostřednictvím plánů činnosti, že hodnocení činnosti je věrohodné.</w:t>
            </w:r>
          </w:p>
        </w:tc>
      </w:tr>
      <w:tr w:rsidR="00D10EAD" w:rsidTr="00BB5A89">
        <w:tc>
          <w:tcPr>
            <w:tcW w:w="336" w:type="pct"/>
            <w:vMerge/>
            <w:shd w:val="clear" w:color="auto" w:fill="auto"/>
            <w:tcMar>
              <w:top w:w="57" w:type="dxa"/>
              <w:bottom w:w="57" w:type="dxa"/>
            </w:tcMar>
          </w:tcPr>
          <w:p w:rsidR="00D10EAD" w:rsidRDefault="00D10EAD" w:rsidP="00914925">
            <w:pPr>
              <w:pStyle w:val="bukatabulky"/>
            </w:pPr>
          </w:p>
        </w:tc>
        <w:tc>
          <w:tcPr>
            <w:tcW w:w="897" w:type="pct"/>
            <w:vMerge/>
            <w:shd w:val="clear" w:color="auto" w:fill="auto"/>
            <w:tcMar>
              <w:top w:w="57" w:type="dxa"/>
              <w:bottom w:w="57" w:type="dxa"/>
            </w:tcMar>
          </w:tcPr>
          <w:p w:rsidR="00D10EAD" w:rsidRDefault="00D10EAD" w:rsidP="00914925">
            <w:pPr>
              <w:pStyle w:val="odstavec"/>
            </w:pPr>
          </w:p>
        </w:tc>
        <w:tc>
          <w:tcPr>
            <w:tcW w:w="479" w:type="pct"/>
            <w:shd w:val="clear" w:color="auto" w:fill="auto"/>
            <w:tcMar>
              <w:top w:w="57" w:type="dxa"/>
              <w:bottom w:w="57" w:type="dxa"/>
            </w:tcMar>
          </w:tcPr>
          <w:p w:rsidR="00D10EAD" w:rsidRDefault="00D10EAD" w:rsidP="00914925">
            <w:pPr>
              <w:pStyle w:val="bukatabulky"/>
            </w:pPr>
            <w:r>
              <w:t>32014L0024</w:t>
            </w:r>
          </w:p>
        </w:tc>
        <w:tc>
          <w:tcPr>
            <w:tcW w:w="297" w:type="pct"/>
            <w:shd w:val="clear" w:color="auto" w:fill="auto"/>
            <w:tcMar>
              <w:top w:w="57" w:type="dxa"/>
              <w:bottom w:w="57" w:type="dxa"/>
            </w:tcMar>
          </w:tcPr>
          <w:p w:rsidR="00D10EAD" w:rsidRDefault="00D10EAD" w:rsidP="00914925">
            <w:pPr>
              <w:pStyle w:val="bukatabulky"/>
            </w:pPr>
            <w:r>
              <w:t>Článek 12 odst. 5</w:t>
            </w:r>
          </w:p>
        </w:tc>
        <w:tc>
          <w:tcPr>
            <w:tcW w:w="2991" w:type="pct"/>
            <w:shd w:val="clear" w:color="auto" w:fill="auto"/>
            <w:tcMar>
              <w:top w:w="57" w:type="dxa"/>
              <w:bottom w:w="57" w:type="dxa"/>
            </w:tcMar>
          </w:tcPr>
          <w:p w:rsidR="00D10EAD" w:rsidRDefault="00D10EAD" w:rsidP="00914925">
            <w:pPr>
              <w:pStyle w:val="bukatabulky"/>
            </w:pPr>
            <w:r>
              <w:t>5.   Pro určení procentního podílu činností uvedeného v odst. 1 prvním pododstavci písm. b), prvním pododstavci odst. 3 písm. b) a odst. 4 písm. c) se vezme v úvahu průměrný celkový obrat nebo jiný vhodný ukazatel založený na činnosti, jako například náklady vzniklé příslušné právnické osobě nebo veřejnému zadavateli v souvislosti se službami, dodávkami a stavebními pracemi za tři roky předcházející zadání veřejné zakázky.</w:t>
            </w:r>
          </w:p>
          <w:p w:rsidR="00D10EAD" w:rsidRDefault="00D10EAD" w:rsidP="00914925">
            <w:pPr>
              <w:pStyle w:val="bukatabulky"/>
            </w:pPr>
            <w:r>
              <w:t>Pokud kvůli datu, ke kterému byly příslušná právnická osoba nebo veřejný zadavatel založeny nebo zahájily činnost, nebo z důvodu reorganizace jejich činností není obrat nebo jiný ukazatel založený na činnosti, jako například náklady za předchozí tři roky, buď dostupný, nebo přestal být relevantní, postačí prokázat, zejména prostřednictvím plánů činnosti, že hodnocení činnosti je věrohodné.</w:t>
            </w:r>
          </w:p>
        </w:tc>
      </w:tr>
      <w:tr w:rsidR="00D10EAD" w:rsidTr="00BB5A89">
        <w:tc>
          <w:tcPr>
            <w:tcW w:w="336" w:type="pct"/>
            <w:vMerge/>
            <w:shd w:val="clear" w:color="auto" w:fill="auto"/>
            <w:tcMar>
              <w:top w:w="57" w:type="dxa"/>
              <w:bottom w:w="57" w:type="dxa"/>
            </w:tcMar>
          </w:tcPr>
          <w:p w:rsidR="00D10EAD" w:rsidRDefault="00D10EAD" w:rsidP="00914925">
            <w:pPr>
              <w:pStyle w:val="bukatabulky"/>
            </w:pPr>
          </w:p>
        </w:tc>
        <w:tc>
          <w:tcPr>
            <w:tcW w:w="897" w:type="pct"/>
            <w:vMerge/>
            <w:shd w:val="clear" w:color="auto" w:fill="auto"/>
            <w:tcMar>
              <w:top w:w="57" w:type="dxa"/>
              <w:bottom w:w="57" w:type="dxa"/>
            </w:tcMar>
          </w:tcPr>
          <w:p w:rsidR="00D10EAD" w:rsidRDefault="00D10EAD" w:rsidP="00914925">
            <w:pPr>
              <w:pStyle w:val="odstavec"/>
            </w:pPr>
          </w:p>
        </w:tc>
        <w:tc>
          <w:tcPr>
            <w:tcW w:w="479" w:type="pct"/>
            <w:shd w:val="clear" w:color="auto" w:fill="auto"/>
            <w:tcMar>
              <w:top w:w="57" w:type="dxa"/>
              <w:bottom w:w="57" w:type="dxa"/>
            </w:tcMar>
          </w:tcPr>
          <w:p w:rsidR="00D10EAD" w:rsidRDefault="00D10EAD" w:rsidP="00914925">
            <w:pPr>
              <w:pStyle w:val="bukatabulky"/>
            </w:pPr>
            <w:r>
              <w:t>32014L0023</w:t>
            </w:r>
          </w:p>
        </w:tc>
        <w:tc>
          <w:tcPr>
            <w:tcW w:w="297" w:type="pct"/>
            <w:shd w:val="clear" w:color="auto" w:fill="auto"/>
            <w:tcMar>
              <w:top w:w="57" w:type="dxa"/>
              <w:bottom w:w="57" w:type="dxa"/>
            </w:tcMar>
          </w:tcPr>
          <w:p w:rsidR="00D10EAD" w:rsidRDefault="00D10EAD" w:rsidP="00914925">
            <w:pPr>
              <w:pStyle w:val="bukatabulky"/>
            </w:pPr>
            <w:r>
              <w:t>Článek 17 odst. 5</w:t>
            </w:r>
          </w:p>
        </w:tc>
        <w:tc>
          <w:tcPr>
            <w:tcW w:w="2991" w:type="pct"/>
            <w:shd w:val="clear" w:color="auto" w:fill="auto"/>
            <w:tcMar>
              <w:top w:w="57" w:type="dxa"/>
              <w:bottom w:w="57" w:type="dxa"/>
            </w:tcMar>
          </w:tcPr>
          <w:p w:rsidR="00D10EAD" w:rsidRDefault="00D10EAD" w:rsidP="00914925">
            <w:pPr>
              <w:pStyle w:val="bukatabulky"/>
            </w:pPr>
            <w:r>
              <w:t>5.   Pro určení procentního podílu činností uvedeného v odst. 1 prvním pododstavci písm. b), odst. 3 prvním pododstavci písm. b) a odst. 4 písm. c) se vezme v úvahu průměrný celkový obrat nebo jiný vhodný ukazatel založený na činnosti, jako například náklady vzniklé příslušné právnické osobě, veřejnému zadavateli nebo zadavateli uvedenému v čl. 7 odst. 1 písm. a) v souvislosti se službami, dodávkami a stavebními pracemi za tři roky předcházející udělení koncese.</w:t>
            </w:r>
          </w:p>
          <w:p w:rsidR="00D10EAD" w:rsidRDefault="00D10EAD" w:rsidP="00914925">
            <w:pPr>
              <w:pStyle w:val="bukatabulky"/>
            </w:pPr>
            <w:r>
              <w:lastRenderedPageBreak/>
              <w:t>Pokud kvůli datu, ke kterému byli příslušná právnická osoba, veřejný zadavatel nebo zadavatel založeni nebo zahájili činnost, nebo z důvodu reorganizace jejích činností není obrat nebo jiný ukazatel založený na činnosti, jako například náklady za předchozí tři roky, buď dostupný, nebo přestal být relevantní, postačí prokázat, zejména prostřednictvím plánů činnosti, že hodnocení činnosti je věrohodné.</w:t>
            </w:r>
          </w:p>
        </w:tc>
      </w:tr>
    </w:tbl>
    <w:p w:rsidR="00F25C1F" w:rsidRDefault="00F25C1F"/>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056077" w:rsidTr="00914925">
        <w:tc>
          <w:tcPr>
            <w:tcW w:w="372" w:type="pct"/>
            <w:vMerge w:val="restart"/>
            <w:shd w:val="clear" w:color="auto" w:fill="auto"/>
            <w:tcMar>
              <w:top w:w="57" w:type="dxa"/>
              <w:bottom w:w="57" w:type="dxa"/>
            </w:tcMar>
          </w:tcPr>
          <w:p w:rsidR="00056077" w:rsidRPr="00F24CC7" w:rsidRDefault="00056077" w:rsidP="00914925">
            <w:pPr>
              <w:pStyle w:val="bukatabulky"/>
              <w:rPr>
                <w:b/>
              </w:rPr>
            </w:pPr>
            <w:r w:rsidRPr="00F24CC7">
              <w:rPr>
                <w:b/>
              </w:rPr>
              <w:t>§ 19 odst. 1</w:t>
            </w:r>
          </w:p>
        </w:tc>
        <w:tc>
          <w:tcPr>
            <w:tcW w:w="933" w:type="pct"/>
            <w:vMerge w:val="restart"/>
            <w:shd w:val="clear" w:color="auto" w:fill="auto"/>
            <w:tcMar>
              <w:top w:w="57" w:type="dxa"/>
              <w:bottom w:w="57" w:type="dxa"/>
            </w:tcMar>
          </w:tcPr>
          <w:p w:rsidR="00056077" w:rsidRDefault="00056077" w:rsidP="00056077">
            <w:pPr>
              <w:pStyle w:val="odstavec"/>
            </w:pPr>
            <w:r>
              <w:t>(1) Předpokládaná hodnota veřejné zakázky, jejímž předmětem jsou pravidelně pořizované nebo trvající dodávky nebo služby, se stanoví jako</w:t>
            </w:r>
          </w:p>
          <w:p w:rsidR="00056077" w:rsidRDefault="00056077" w:rsidP="00056077">
            <w:pPr>
              <w:pStyle w:val="odstavec"/>
            </w:pPr>
            <w:r>
              <w:t xml:space="preserve"> </w:t>
            </w:r>
          </w:p>
          <w:p w:rsidR="00056077" w:rsidRDefault="00056077" w:rsidP="00056077">
            <w:pPr>
              <w:pStyle w:val="odstavec"/>
            </w:pPr>
            <w:r>
              <w:t xml:space="preserve">a) skutečná cena uhrazená zadavatelem za dodávky nebo služby stejného druhu během předcházejících 12 měsíců nebo předchozího </w:t>
            </w:r>
            <w:r w:rsidRPr="00056077">
              <w:rPr>
                <w:b/>
              </w:rPr>
              <w:t>individuálního</w:t>
            </w:r>
            <w:r>
              <w:t xml:space="preserve"> účetního období, které je delší než 12 měsíců, upravená o změny v množství nebo cenách, které lze očekávat během následujících 12 měsíců, nebo</w:t>
            </w:r>
          </w:p>
          <w:p w:rsidR="00056077" w:rsidRDefault="00056077" w:rsidP="00056077">
            <w:pPr>
              <w:pStyle w:val="odstavec"/>
            </w:pPr>
            <w:r>
              <w:lastRenderedPageBreak/>
              <w:t xml:space="preserve"> </w:t>
            </w:r>
          </w:p>
          <w:p w:rsidR="00056077" w:rsidRPr="003E2135" w:rsidRDefault="00056077" w:rsidP="00056077">
            <w:pPr>
              <w:pStyle w:val="odstavec"/>
            </w:pPr>
            <w:r>
              <w:t xml:space="preserve">b) </w:t>
            </w:r>
            <w:r>
              <w:t xml:space="preserve">součet </w:t>
            </w:r>
            <w:r>
              <w:t xml:space="preserve">předpokládaných hodnot jednotlivých dodávek a služeb, které mají být zadavatelem zadány během následujících 12 měsíců nebo v </w:t>
            </w:r>
            <w:r w:rsidRPr="00056077">
              <w:rPr>
                <w:b/>
              </w:rPr>
              <w:t>individuálním</w:t>
            </w:r>
            <w:r w:rsidRPr="00056077">
              <w:t xml:space="preserve"> </w:t>
            </w:r>
            <w:r>
              <w:t>účetním období, které je delší než 12 měsíců, pokud nemá k dispozici údaje podle písmene a).</w:t>
            </w:r>
          </w:p>
        </w:tc>
        <w:tc>
          <w:tcPr>
            <w:tcW w:w="334" w:type="pct"/>
            <w:shd w:val="clear" w:color="auto" w:fill="auto"/>
            <w:tcMar>
              <w:top w:w="57" w:type="dxa"/>
              <w:bottom w:w="57" w:type="dxa"/>
            </w:tcMar>
          </w:tcPr>
          <w:p w:rsidR="00056077" w:rsidRDefault="00056077" w:rsidP="00914925">
            <w:pPr>
              <w:pStyle w:val="bukatabulky"/>
            </w:pPr>
            <w:r>
              <w:lastRenderedPageBreak/>
              <w:t>32014L0025</w:t>
            </w:r>
          </w:p>
        </w:tc>
        <w:tc>
          <w:tcPr>
            <w:tcW w:w="299" w:type="pct"/>
            <w:shd w:val="clear" w:color="auto" w:fill="auto"/>
            <w:tcMar>
              <w:top w:w="57" w:type="dxa"/>
              <w:bottom w:w="57" w:type="dxa"/>
            </w:tcMar>
          </w:tcPr>
          <w:p w:rsidR="00056077" w:rsidRDefault="00056077" w:rsidP="00914925">
            <w:pPr>
              <w:pStyle w:val="bukatabulky"/>
            </w:pPr>
            <w:r>
              <w:t>Článek 16 odst. 11</w:t>
            </w:r>
          </w:p>
        </w:tc>
        <w:tc>
          <w:tcPr>
            <w:tcW w:w="3062" w:type="pct"/>
            <w:shd w:val="clear" w:color="auto" w:fill="auto"/>
            <w:tcMar>
              <w:top w:w="57" w:type="dxa"/>
              <w:bottom w:w="57" w:type="dxa"/>
            </w:tcMar>
          </w:tcPr>
          <w:p w:rsidR="00056077" w:rsidRDefault="00056077" w:rsidP="00914925">
            <w:pPr>
              <w:pStyle w:val="bukatabulky"/>
            </w:pPr>
            <w:r>
              <w:t>11.   V případě zakázek na dodávky nebo služby, které jsou pravidelné povahy nebo které mají být obnovovány během daného období, se odhadovaná hodnota zakázky vypočte na základě:</w:t>
            </w:r>
          </w:p>
          <w:p w:rsidR="00056077" w:rsidRDefault="00056077" w:rsidP="00914925">
            <w:pPr>
              <w:pStyle w:val="bukatabulky"/>
            </w:pPr>
            <w:r>
              <w:t>a) buď celkové skutečné hodnoty po sobě jdoucích zakázek stejného druhu zadaných během předchozích dvanácti měsíců nebo předchozího rozpočtového období, pokud možno upravené o předpokládané změny v množství nebo hodnotě během dvanácti měsíců následujících po první zakázce;</w:t>
            </w:r>
          </w:p>
          <w:p w:rsidR="00056077" w:rsidRDefault="00056077" w:rsidP="00914925">
            <w:pPr>
              <w:pStyle w:val="bukatabulky"/>
            </w:pPr>
            <w:r>
              <w:t>b) nebo celkové odhadované hodnoty po sobě jdoucích zakázek zadaných během dvanácti měsíců následujících po první dodávce nebo během rozpočtového období, je-li delší než dvanáct měsíců.</w:t>
            </w:r>
          </w:p>
        </w:tc>
      </w:tr>
      <w:tr w:rsidR="00056077" w:rsidTr="00914925">
        <w:tc>
          <w:tcPr>
            <w:tcW w:w="372" w:type="pct"/>
            <w:vMerge/>
            <w:shd w:val="clear" w:color="auto" w:fill="auto"/>
            <w:tcMar>
              <w:top w:w="57" w:type="dxa"/>
              <w:bottom w:w="57" w:type="dxa"/>
            </w:tcMar>
          </w:tcPr>
          <w:p w:rsidR="00056077" w:rsidRDefault="00056077" w:rsidP="00914925">
            <w:pPr>
              <w:pStyle w:val="bukatabulky"/>
            </w:pPr>
          </w:p>
        </w:tc>
        <w:tc>
          <w:tcPr>
            <w:tcW w:w="933" w:type="pct"/>
            <w:vMerge/>
            <w:shd w:val="clear" w:color="auto" w:fill="auto"/>
            <w:tcMar>
              <w:top w:w="57" w:type="dxa"/>
              <w:bottom w:w="57" w:type="dxa"/>
            </w:tcMar>
          </w:tcPr>
          <w:p w:rsidR="00056077" w:rsidRDefault="00056077" w:rsidP="00914925">
            <w:pPr>
              <w:pStyle w:val="odstavec"/>
            </w:pPr>
          </w:p>
        </w:tc>
        <w:tc>
          <w:tcPr>
            <w:tcW w:w="334" w:type="pct"/>
            <w:shd w:val="clear" w:color="auto" w:fill="auto"/>
            <w:tcMar>
              <w:top w:w="57" w:type="dxa"/>
              <w:bottom w:w="57" w:type="dxa"/>
            </w:tcMar>
          </w:tcPr>
          <w:p w:rsidR="00056077" w:rsidRDefault="00056077" w:rsidP="00914925">
            <w:pPr>
              <w:pStyle w:val="bukatabulky"/>
            </w:pPr>
            <w:r>
              <w:t>32009L0081</w:t>
            </w:r>
          </w:p>
        </w:tc>
        <w:tc>
          <w:tcPr>
            <w:tcW w:w="299" w:type="pct"/>
            <w:shd w:val="clear" w:color="auto" w:fill="auto"/>
            <w:tcMar>
              <w:top w:w="57" w:type="dxa"/>
              <w:bottom w:w="57" w:type="dxa"/>
            </w:tcMar>
          </w:tcPr>
          <w:p w:rsidR="00056077" w:rsidRDefault="00056077" w:rsidP="00914925">
            <w:pPr>
              <w:pStyle w:val="bukatabulky"/>
            </w:pPr>
            <w:r>
              <w:t>Článek 9 odst. 7</w:t>
            </w:r>
          </w:p>
        </w:tc>
        <w:tc>
          <w:tcPr>
            <w:tcW w:w="3062" w:type="pct"/>
            <w:shd w:val="clear" w:color="auto" w:fill="auto"/>
            <w:tcMar>
              <w:top w:w="57" w:type="dxa"/>
              <w:bottom w:w="57" w:type="dxa"/>
            </w:tcMar>
          </w:tcPr>
          <w:p w:rsidR="00056077" w:rsidRDefault="00056077" w:rsidP="00914925">
            <w:pPr>
              <w:pStyle w:val="bukatabulky"/>
            </w:pPr>
            <w:r>
              <w:t>V případě zakázek na dodávky nebo na služby, které jsou pravidelné povahy nebo které mají být obnovovány během daného období, se odhadovaná hodnota zakázky vypočte na základě</w:t>
            </w:r>
          </w:p>
          <w:p w:rsidR="00056077" w:rsidRDefault="00056077" w:rsidP="00914925">
            <w:pPr>
              <w:pStyle w:val="bukatabulky"/>
            </w:pPr>
            <w:r>
              <w:t>a)</w:t>
            </w:r>
          </w:p>
          <w:p w:rsidR="00056077" w:rsidRDefault="00056077" w:rsidP="00914925">
            <w:pPr>
              <w:pStyle w:val="bukatabulky"/>
            </w:pPr>
            <w:r>
              <w:t>buď celkové skutečné hodnoty po sobě jdoucích zakázek stejného druhu zadaných během předchozích dvanácti měsíců nebo předchozího účetního období, pokud možno přizpůsobené odhadovaným změnám v množství nebo hodnotě během dvanácti měsíců následujících po první zakázce;</w:t>
            </w:r>
          </w:p>
          <w:p w:rsidR="00056077" w:rsidRDefault="00056077" w:rsidP="00914925">
            <w:pPr>
              <w:pStyle w:val="bukatabulky"/>
            </w:pPr>
            <w:r>
              <w:t>b)</w:t>
            </w:r>
          </w:p>
          <w:p w:rsidR="00056077" w:rsidRDefault="00056077" w:rsidP="00914925">
            <w:pPr>
              <w:pStyle w:val="bukatabulky"/>
            </w:pPr>
            <w:r>
              <w:lastRenderedPageBreak/>
              <w:t>nebo celkové odhadované hodnoty po sobě jdoucích zakázek zadaných během dvanácti měsíců následujících po první dodávce nebo během účetního období, je-li delší než dvanáct měsíců.</w:t>
            </w:r>
          </w:p>
          <w:p w:rsidR="00056077" w:rsidRDefault="00056077" w:rsidP="00914925">
            <w:pPr>
              <w:pStyle w:val="bukatabulky"/>
            </w:pPr>
            <w:r>
              <w:t>Výběr metody použité pro výpočet odhadované hodnoty zakázky nesmí být proveden s úmyslem vyloučit ji z oblasti působnosti této směrnice.</w:t>
            </w:r>
          </w:p>
        </w:tc>
      </w:tr>
      <w:tr w:rsidR="00056077" w:rsidTr="00914925">
        <w:tc>
          <w:tcPr>
            <w:tcW w:w="372" w:type="pct"/>
            <w:vMerge/>
            <w:shd w:val="clear" w:color="auto" w:fill="auto"/>
            <w:tcMar>
              <w:top w:w="57" w:type="dxa"/>
              <w:bottom w:w="57" w:type="dxa"/>
            </w:tcMar>
          </w:tcPr>
          <w:p w:rsidR="00056077" w:rsidRDefault="00056077" w:rsidP="00914925">
            <w:pPr>
              <w:pStyle w:val="bukatabulky"/>
            </w:pPr>
          </w:p>
        </w:tc>
        <w:tc>
          <w:tcPr>
            <w:tcW w:w="933" w:type="pct"/>
            <w:vMerge/>
            <w:shd w:val="clear" w:color="auto" w:fill="auto"/>
            <w:tcMar>
              <w:top w:w="57" w:type="dxa"/>
              <w:bottom w:w="57" w:type="dxa"/>
            </w:tcMar>
          </w:tcPr>
          <w:p w:rsidR="00056077" w:rsidRDefault="00056077" w:rsidP="00914925">
            <w:pPr>
              <w:pStyle w:val="odstavec"/>
            </w:pPr>
          </w:p>
        </w:tc>
        <w:tc>
          <w:tcPr>
            <w:tcW w:w="334" w:type="pct"/>
            <w:shd w:val="clear" w:color="auto" w:fill="auto"/>
            <w:tcMar>
              <w:top w:w="57" w:type="dxa"/>
              <w:bottom w:w="57" w:type="dxa"/>
            </w:tcMar>
          </w:tcPr>
          <w:p w:rsidR="00056077" w:rsidRDefault="00056077" w:rsidP="00914925">
            <w:pPr>
              <w:pStyle w:val="bukatabulky"/>
            </w:pPr>
            <w:r>
              <w:t>32014L0024</w:t>
            </w:r>
          </w:p>
        </w:tc>
        <w:tc>
          <w:tcPr>
            <w:tcW w:w="299" w:type="pct"/>
            <w:shd w:val="clear" w:color="auto" w:fill="auto"/>
            <w:tcMar>
              <w:top w:w="57" w:type="dxa"/>
              <w:bottom w:w="57" w:type="dxa"/>
            </w:tcMar>
          </w:tcPr>
          <w:p w:rsidR="00056077" w:rsidRDefault="00056077" w:rsidP="00914925">
            <w:pPr>
              <w:pStyle w:val="bukatabulky"/>
            </w:pPr>
            <w:r>
              <w:t>Článek 5 odst. 11</w:t>
            </w:r>
          </w:p>
        </w:tc>
        <w:tc>
          <w:tcPr>
            <w:tcW w:w="3062" w:type="pct"/>
            <w:shd w:val="clear" w:color="auto" w:fill="auto"/>
            <w:tcMar>
              <w:top w:w="57" w:type="dxa"/>
              <w:bottom w:w="57" w:type="dxa"/>
            </w:tcMar>
          </w:tcPr>
          <w:p w:rsidR="00056077" w:rsidRDefault="00056077" w:rsidP="00914925">
            <w:pPr>
              <w:pStyle w:val="bukatabulky"/>
            </w:pPr>
            <w:r>
              <w:t>11.   V případě veřejných zakázek na dodávky nebo služby, které jsou pravidelné povahy nebo které mají být obnovovány během daného období, se odhadovaná hodnota veřejné zakázky vypočte na základě:</w:t>
            </w:r>
          </w:p>
          <w:p w:rsidR="00056077" w:rsidRDefault="00056077" w:rsidP="00914925">
            <w:pPr>
              <w:pStyle w:val="bukatabulky"/>
            </w:pPr>
            <w:r>
              <w:t>a) buď celkové skutečné hodnoty po sobě jdoucích veřejných zakázek stejného druhu zadaných během předchozích dvanácti měsíců nebo předchozího rozpočtového období, pokud možno upravené o předpokládané změny v množství nebo hodnotě během dvanácti měsíců následujících po první veřejné zakázce;</w:t>
            </w:r>
          </w:p>
          <w:p w:rsidR="00056077" w:rsidRDefault="00056077" w:rsidP="00914925">
            <w:pPr>
              <w:pStyle w:val="bukatabulky"/>
            </w:pPr>
            <w:r>
              <w:t>b) nebo celkové odhadované hodnoty po sobě jdoucích veřejných zakázek zadaných během dvanácti měsíců následujících po první dodávce nebo během rozpočtového období, je-li delší než dvanáct měsíců.</w:t>
            </w:r>
          </w:p>
        </w:tc>
      </w:tr>
    </w:tbl>
    <w:p w:rsidR="00056077" w:rsidRDefault="00056077"/>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6670EF" w:rsidTr="00914925">
        <w:tc>
          <w:tcPr>
            <w:tcW w:w="372" w:type="pct"/>
            <w:vMerge w:val="restart"/>
            <w:shd w:val="clear" w:color="auto" w:fill="auto"/>
            <w:tcMar>
              <w:top w:w="57" w:type="dxa"/>
              <w:bottom w:w="57" w:type="dxa"/>
            </w:tcMar>
          </w:tcPr>
          <w:p w:rsidR="006670EF" w:rsidRPr="00F24CC7" w:rsidRDefault="006670EF" w:rsidP="00914925">
            <w:pPr>
              <w:pStyle w:val="bukatabulky"/>
              <w:rPr>
                <w:b/>
              </w:rPr>
            </w:pPr>
            <w:r w:rsidRPr="00F24CC7">
              <w:rPr>
                <w:b/>
              </w:rPr>
              <w:t>§ 78</w:t>
            </w:r>
            <w:r w:rsidRPr="00F24CC7">
              <w:rPr>
                <w:b/>
              </w:rPr>
              <w:t xml:space="preserve"> odst. 1</w:t>
            </w:r>
          </w:p>
        </w:tc>
        <w:tc>
          <w:tcPr>
            <w:tcW w:w="933" w:type="pct"/>
            <w:vMerge w:val="restart"/>
            <w:shd w:val="clear" w:color="auto" w:fill="auto"/>
            <w:tcMar>
              <w:top w:w="57" w:type="dxa"/>
              <w:bottom w:w="57" w:type="dxa"/>
            </w:tcMar>
          </w:tcPr>
          <w:p w:rsidR="006670EF" w:rsidRDefault="006670EF" w:rsidP="00914925">
            <w:pPr>
              <w:pStyle w:val="odstavec"/>
            </w:pPr>
            <w:r w:rsidRPr="006670EF">
              <w:t xml:space="preserve">(1) Zadavatel může požadovat, aby minimální roční obrat dodavatele nebo obrat dosažený dodavatelem s ohledem na předmět veřejné zakázky dosahoval zadavatelem určené </w:t>
            </w:r>
            <w:r w:rsidRPr="006670EF">
              <w:lastRenderedPageBreak/>
              <w:t xml:space="preserve">minimální úrovně, a to nejdéle za 3 bezprostředně předcházející </w:t>
            </w:r>
            <w:r w:rsidRPr="006670EF">
              <w:rPr>
                <w:b/>
              </w:rPr>
              <w:t>individuální</w:t>
            </w:r>
            <w:r w:rsidRPr="006670EF">
              <w:t xml:space="preserve"> účetní období; jestliže dodavatel vznikl později, postačí, předloží- li údaje o svém obratu v požadované výši za všechna </w:t>
            </w:r>
            <w:r w:rsidRPr="006670EF">
              <w:rPr>
                <w:b/>
              </w:rPr>
              <w:t>individuální</w:t>
            </w:r>
            <w:r w:rsidRPr="006670EF">
              <w:t xml:space="preserve"> účetní období od svého vzniku.</w:t>
            </w:r>
          </w:p>
        </w:tc>
        <w:tc>
          <w:tcPr>
            <w:tcW w:w="334" w:type="pct"/>
            <w:shd w:val="clear" w:color="auto" w:fill="auto"/>
            <w:tcMar>
              <w:top w:w="57" w:type="dxa"/>
              <w:bottom w:w="57" w:type="dxa"/>
            </w:tcMar>
          </w:tcPr>
          <w:p w:rsidR="006670EF" w:rsidRDefault="006670EF" w:rsidP="00914925">
            <w:pPr>
              <w:pStyle w:val="bukatabulky"/>
            </w:pPr>
            <w:r>
              <w:lastRenderedPageBreak/>
              <w:t>32014L0023</w:t>
            </w:r>
          </w:p>
        </w:tc>
        <w:tc>
          <w:tcPr>
            <w:tcW w:w="299" w:type="pct"/>
            <w:shd w:val="clear" w:color="auto" w:fill="auto"/>
            <w:tcMar>
              <w:top w:w="57" w:type="dxa"/>
              <w:bottom w:w="57" w:type="dxa"/>
            </w:tcMar>
          </w:tcPr>
          <w:p w:rsidR="006670EF" w:rsidRDefault="006670EF" w:rsidP="00914925">
            <w:pPr>
              <w:pStyle w:val="bukatabulky"/>
            </w:pPr>
            <w:r>
              <w:t>Článek 38 odst. 1</w:t>
            </w:r>
          </w:p>
        </w:tc>
        <w:tc>
          <w:tcPr>
            <w:tcW w:w="3062" w:type="pct"/>
            <w:shd w:val="clear" w:color="auto" w:fill="auto"/>
            <w:tcMar>
              <w:top w:w="57" w:type="dxa"/>
              <w:bottom w:w="57" w:type="dxa"/>
            </w:tcMar>
          </w:tcPr>
          <w:p w:rsidR="006670EF" w:rsidRDefault="006670EF" w:rsidP="00914925">
            <w:pPr>
              <w:pStyle w:val="bukatabulky"/>
            </w:pPr>
            <w:r>
              <w:t>Výběr a hodnocení zájemců na základě kvality</w:t>
            </w:r>
          </w:p>
          <w:p w:rsidR="006670EF" w:rsidRDefault="006670EF" w:rsidP="00914925">
            <w:pPr>
              <w:pStyle w:val="bukatabulky"/>
            </w:pPr>
            <w:r>
              <w:t>1.   Veřejní zadavatelé a zadavatelé ověří podmínky pro účast týkající se odborné a technické způsobilosti a finanční a ekonomické situace zájemců nebo uchazečů, a to na základě vlastních prohlášení, dokladu nebo dokladů, jež mají být předloženy jako důkaz v souladu s požadavky v oznámení o zahájení koncesního řízení, které nesmí být diskriminační a musí být úměrné předmětu koncese. Podmínky pro účast musí souviset s potřebou zajistit, aby byl koncesionář schopný plnit danou koncesi, a být této potřebě úměrné, přičemž je nutné zohlednit předmět koncese a to, že je třeba zajistit skutečnou soutěž.</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32014L0024</w:t>
            </w:r>
          </w:p>
        </w:tc>
        <w:tc>
          <w:tcPr>
            <w:tcW w:w="299" w:type="pct"/>
            <w:shd w:val="clear" w:color="auto" w:fill="auto"/>
            <w:tcMar>
              <w:top w:w="57" w:type="dxa"/>
              <w:bottom w:w="57" w:type="dxa"/>
            </w:tcMar>
          </w:tcPr>
          <w:p w:rsidR="006670EF" w:rsidRDefault="006670EF" w:rsidP="00914925">
            <w:pPr>
              <w:pStyle w:val="bukatabulky"/>
            </w:pPr>
            <w:r>
              <w:t>Článek 58</w:t>
            </w:r>
          </w:p>
        </w:tc>
        <w:tc>
          <w:tcPr>
            <w:tcW w:w="3062" w:type="pct"/>
            <w:shd w:val="clear" w:color="auto" w:fill="auto"/>
            <w:tcMar>
              <w:top w:w="57" w:type="dxa"/>
              <w:bottom w:w="57" w:type="dxa"/>
            </w:tcMar>
          </w:tcPr>
          <w:p w:rsidR="006670EF" w:rsidRDefault="006670EF" w:rsidP="00914925">
            <w:pPr>
              <w:pStyle w:val="bukatabulky"/>
            </w:pPr>
            <w:r>
              <w:t>1.   Kvalifikační kritéria pro výběr se mohou týkat:</w:t>
            </w:r>
          </w:p>
          <w:p w:rsidR="006670EF" w:rsidRDefault="006670EF" w:rsidP="00914925">
            <w:pPr>
              <w:pStyle w:val="bukatabulky"/>
            </w:pPr>
            <w:r>
              <w:t>a) vhodnosti pro výkon odborné činnosti;</w:t>
            </w:r>
          </w:p>
          <w:p w:rsidR="006670EF" w:rsidRDefault="006670EF" w:rsidP="00914925">
            <w:pPr>
              <w:pStyle w:val="bukatabulky"/>
            </w:pPr>
            <w:r>
              <w:t>b)ekonomické a finanční situace;</w:t>
            </w:r>
          </w:p>
          <w:p w:rsidR="006670EF" w:rsidRDefault="006670EF" w:rsidP="00914925">
            <w:pPr>
              <w:pStyle w:val="bukatabulky"/>
            </w:pPr>
            <w:r>
              <w:t>c) technické a odborné způsobilosti.</w:t>
            </w:r>
          </w:p>
          <w:p w:rsidR="006670EF" w:rsidRDefault="006670EF" w:rsidP="00914925">
            <w:pPr>
              <w:pStyle w:val="bukatabulky"/>
            </w:pPr>
            <w:r>
              <w:t>Veřejní zadavatelé mohou kritéria uvedená v odstavcích 2, 3 a 4 hospodářským subjektům uložit pouze jako požadavky pro účast. Požadavky omezí na ty, které zajišťují, aby měl zájemce nebo uchazeč právní a finanční způsobilost a technické a odborné schopnosti pro plnění veřejné zakázky, která má být zadána. Veškeré požadavky musí souviset s předmětem veřejné zakázky a být vzhledem k předmětu veřejné zakázky přiměřené.</w:t>
            </w:r>
          </w:p>
          <w:p w:rsidR="006670EF" w:rsidRDefault="006670EF" w:rsidP="00914925">
            <w:pPr>
              <w:pStyle w:val="bukatabulky"/>
            </w:pPr>
            <w:r>
              <w:t>2.   Pokud jde o vhodnost pro výkon odborné činnosti, mohou veřejní zadavatelé od hospodářských subjektů vyžadovat, aby byly zapsány v některém z profesních nebo obchodních rejstříků vedeném v členském státě, kde jsou usazeny, a uvedeném v příloze XI, nebo aby dodržely jiný požadavek stanovený v uvedené příloze.</w:t>
            </w:r>
          </w:p>
          <w:p w:rsidR="006670EF" w:rsidRDefault="006670EF" w:rsidP="00914925">
            <w:pPr>
              <w:pStyle w:val="bukatabulky"/>
            </w:pPr>
            <w:r>
              <w:t>Jsou-li v zadávacích řízeních na služby hospodářské subjekty povinny mít určité oprávnění nebo být členem určité organizace, aby mohly ve své zemi původu poskytovat danou službu, může veřejný zadavatel požadovat, aby prokázaly, že takové oprávnění či členství mají.</w:t>
            </w:r>
          </w:p>
          <w:p w:rsidR="006670EF" w:rsidRDefault="006670EF" w:rsidP="00914925">
            <w:pPr>
              <w:pStyle w:val="bukatabulky"/>
            </w:pPr>
            <w:r>
              <w:t>3.   Pokud jde o ekonomickou a finanční situaci, mohou veřejní zadavatelé stanovit požadavky k zajištění toho, aby hospodářské subjekty měly ekonomickou a finanční způsobilost nezbytnou k plnění veřejné zakázky. Za tímto účelem mohou veřejní zadavatelé zejména požadovat, aby hospodářské subjekty dosahovaly určitého minimálního ročního obratu, včetně určitého minimálního obratu v oblasti, které se veřejná zakázka týká. Nadto mohou veřejní zadavatelé vyžadovat, aby hospodářské subjekty poskytly informace o svých ročních účetních závěrkách, z nichž bude patrný například poměr mezi aktivy a pasivy. Požadovat mohou také odpovídající úroveň pojištění odpovědnosti za škodu způsobenou při výkonu povolání.</w:t>
            </w:r>
          </w:p>
          <w:p w:rsidR="006670EF" w:rsidRDefault="006670EF" w:rsidP="00914925">
            <w:pPr>
              <w:pStyle w:val="bukatabulky"/>
            </w:pPr>
            <w:r>
              <w:t xml:space="preserve">Minimální roční obrat, který se od hospodářských subjektů vyžaduje, nesmí přesahovat dvojnásobek odhadované hodnoty veřejné zakázky, kromě řádně odůvodněných případů, jako jsou případy spojené se zvláštními riziky, jež vyplývají z povahy stavebních prací, </w:t>
            </w:r>
            <w:r>
              <w:lastRenderedPageBreak/>
              <w:t>služeb nebo dodávek. Hlavní důvody pro tento požadavek uvede veřejný zadavatel v zadávací dokumentaci nebo v samostatné zprávě podle článku 84.</w:t>
            </w:r>
          </w:p>
          <w:p w:rsidR="006670EF" w:rsidRDefault="006670EF" w:rsidP="00914925">
            <w:pPr>
              <w:pStyle w:val="bukatabulky"/>
            </w:pPr>
            <w:r>
              <w:t>Například poměr mezi aktivy a pasivy lze zohlednit, pokud veřejný zadavatel metody a kritéria pro toto zohlednění uvedl v zadávací dokumentaci. Tyto metody a kritéria musí být transparentní, objektivní a nediskriminační.</w:t>
            </w:r>
          </w:p>
          <w:p w:rsidR="006670EF" w:rsidRDefault="006670EF" w:rsidP="00914925">
            <w:pPr>
              <w:pStyle w:val="bukatabulky"/>
            </w:pPr>
            <w:r>
              <w:t>Pokud je veřejná zakázka rozdělena na části, použije se tento článek na každou jednotlivou část. Veřejný zadavatel však může stanovit minimální roční obrat, který se od hospodářských subjektů vyžaduje, odkazem na soubory částí v případě, že úspěšnému uchazeči bude zadáno provedení několika částí současně.</w:t>
            </w:r>
          </w:p>
          <w:p w:rsidR="006670EF" w:rsidRDefault="006670EF" w:rsidP="00914925">
            <w:pPr>
              <w:pStyle w:val="bukatabulky"/>
            </w:pPr>
            <w:r>
              <w:t>Pokud mají být zadány veřejné zakázky na základě rámcové dohody po obnovení soutěže, vypočítá se požadavek na maximální roční obrat uvedený ve druhém pododstavci tohoto odstavce podle očekávaného maximálního rozsahu jednotlivých veřejných zakázek, jež budou prováděny současně, nebo není-li znám, podle odhadované hodnoty rámcové dohody. V případě dynamických nákupních systémů se požadavek na maximální roční obrat uvedený v druhém pododstavci vypočítá na základě očekávaného maximálního rozsahu jednotlivých veřejných zakázek, jež mají být v rámci tohoto systému zadány.</w:t>
            </w:r>
          </w:p>
          <w:p w:rsidR="006670EF" w:rsidRDefault="006670EF" w:rsidP="00914925">
            <w:pPr>
              <w:pStyle w:val="bukatabulky"/>
            </w:pPr>
            <w:r>
              <w:t>4.   Pokud jde o technickou a odbornou způsobilost, mohou veřejní zadavatelé stanovit požadavky k zajištění toho, aby hospodářské subjekty disponovaly lidskými a technickými zdroji a zkušenostmi, které jsou nezbytné pro plnění veřejné zakázky v odpovídající kvalitě.</w:t>
            </w:r>
          </w:p>
          <w:p w:rsidR="006670EF" w:rsidRDefault="006670EF" w:rsidP="00914925">
            <w:pPr>
              <w:pStyle w:val="bukatabulky"/>
            </w:pPr>
            <w:r>
              <w:t>Veřejní zadavatelé mohou zejména požadovat, aby hospodářské subjekty disponovaly dostatečnými zkušenostmi, prokázanými prostřednictvím vhodných referencí na veřejné zakázky plněné v minulosti. Veřejný zadavatel může vycházet z předpokladu, že hospodářský subjekt nemá požadované profesní schopnosti, pokud zjistil, že hospodářský subjekt má protichůdné zájmy, jež by mohly negativně ovlivnit plnění veřejné zakázky.</w:t>
            </w:r>
          </w:p>
          <w:p w:rsidR="006670EF" w:rsidRDefault="006670EF" w:rsidP="00914925">
            <w:pPr>
              <w:pStyle w:val="bukatabulky"/>
            </w:pPr>
            <w:r>
              <w:t>V zadávacích řízeních na dodávky vyžadující umístění stavby nebo instalační práce, služby nebo stavební práce lze profesní způsobilost hospodářských subjektů k poskytnutí služeb nebo provedení instalace nebo stavby hodnotit s přihlédnutím k jejich dovednostem, výkonnosti, zkušenosti a spolehlivosti.</w:t>
            </w:r>
          </w:p>
          <w:p w:rsidR="006670EF" w:rsidRDefault="006670EF" w:rsidP="00914925">
            <w:pPr>
              <w:pStyle w:val="bukatabulky"/>
            </w:pPr>
            <w:r>
              <w:lastRenderedPageBreak/>
              <w:t>5.   Veřejní dodavatelé uvedou požadované podmínky účasti, jež mohou být vyjádřeny jako minimální úroveň způsobilosti, spolu s vhodnými doklady v oznámení o zahájení zadávacího řízení nebo ve výzvě k potvrzení zájmu.</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32014L0025</w:t>
            </w:r>
          </w:p>
        </w:tc>
        <w:tc>
          <w:tcPr>
            <w:tcW w:w="299" w:type="pct"/>
            <w:shd w:val="clear" w:color="auto" w:fill="auto"/>
            <w:tcMar>
              <w:top w:w="57" w:type="dxa"/>
              <w:bottom w:w="57" w:type="dxa"/>
            </w:tcMar>
          </w:tcPr>
          <w:p w:rsidR="006670EF" w:rsidRDefault="006670EF" w:rsidP="00914925">
            <w:pPr>
              <w:pStyle w:val="bukatabulky"/>
            </w:pPr>
            <w:r>
              <w:t>Článek 78</w:t>
            </w:r>
          </w:p>
        </w:tc>
        <w:tc>
          <w:tcPr>
            <w:tcW w:w="3062" w:type="pct"/>
            <w:shd w:val="clear" w:color="auto" w:fill="auto"/>
            <w:tcMar>
              <w:top w:w="57" w:type="dxa"/>
              <w:bottom w:w="57" w:type="dxa"/>
            </w:tcMar>
          </w:tcPr>
          <w:p w:rsidR="006670EF" w:rsidRDefault="006670EF" w:rsidP="00914925">
            <w:pPr>
              <w:pStyle w:val="bukatabulky"/>
            </w:pPr>
            <w:r>
              <w:t>Kritéria pro výběr na základě kvalifikace</w:t>
            </w:r>
          </w:p>
          <w:p w:rsidR="006670EF" w:rsidRDefault="006670EF" w:rsidP="00914925">
            <w:pPr>
              <w:pStyle w:val="bukatabulky"/>
            </w:pPr>
            <w:r>
              <w:t>1.   Zadavatelé mohou stanovit objektivní pravidla a kritéria pro vyloučení a výběr uchazečů nebo zájemců; tato pravidla a kritéria jsou k dispozici hospodářským subjektům, kteří o to mají zájem.</w:t>
            </w:r>
          </w:p>
          <w:p w:rsidR="006670EF" w:rsidRDefault="006670EF" w:rsidP="00914925">
            <w:pPr>
              <w:pStyle w:val="bukatabulky"/>
            </w:pPr>
            <w:r>
              <w:t>2.   V případě, že zadavatelé potřebují zajistit náležitou rovnováhu mezi zvláštní povahou zadávacího řízení a zdroji potřebnými pro jeho uskutečnění, mohou v užších řízeních nebo jednacích řízeních, soutěžních dialozích či inovačních partnerstvích stanovit objektivní pravidla a kritéria, která odrážejí tuto potřebu a umožňují zadavateli omezit počet zájemců, kteří budou vyzváni k podání nabídky nebo k jednání. Počet vybraných zájemců však musí zohledňovat nutnost zajištění přiměřené soutěže.</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32009L0081</w:t>
            </w:r>
          </w:p>
        </w:tc>
        <w:tc>
          <w:tcPr>
            <w:tcW w:w="299" w:type="pct"/>
            <w:shd w:val="clear" w:color="auto" w:fill="auto"/>
            <w:tcMar>
              <w:top w:w="57" w:type="dxa"/>
              <w:bottom w:w="57" w:type="dxa"/>
            </w:tcMar>
          </w:tcPr>
          <w:p w:rsidR="006670EF" w:rsidRDefault="006670EF" w:rsidP="00914925">
            <w:pPr>
              <w:pStyle w:val="bukatabulky"/>
            </w:pPr>
            <w:r>
              <w:t>Článek 41</w:t>
            </w:r>
          </w:p>
        </w:tc>
        <w:tc>
          <w:tcPr>
            <w:tcW w:w="3062" w:type="pct"/>
            <w:shd w:val="clear" w:color="auto" w:fill="auto"/>
            <w:tcMar>
              <w:top w:w="57" w:type="dxa"/>
              <w:bottom w:w="57" w:type="dxa"/>
            </w:tcMar>
          </w:tcPr>
          <w:p w:rsidR="006670EF" w:rsidRDefault="006670EF" w:rsidP="00914925">
            <w:pPr>
              <w:pStyle w:val="bukatabulky"/>
            </w:pPr>
            <w:r>
              <w:t>Hospodářské a finanční předpoklady</w:t>
            </w:r>
          </w:p>
          <w:p w:rsidR="006670EF" w:rsidRDefault="006670EF" w:rsidP="00914925">
            <w:pPr>
              <w:pStyle w:val="bukatabulky"/>
            </w:pPr>
            <w:r>
              <w:t>1.   Důkaz o hospodářských a finančních předpokladech hospodářského subjektu může být poskytnut zpravidla jedním nebo více z těchto dokladů:</w:t>
            </w:r>
          </w:p>
          <w:p w:rsidR="006670EF" w:rsidRDefault="006670EF" w:rsidP="00914925">
            <w:pPr>
              <w:pStyle w:val="bukatabulky"/>
            </w:pPr>
            <w:r>
              <w:tab/>
              <w:t>a)</w:t>
            </w:r>
            <w:r>
              <w:tab/>
              <w:t>vhodnými výpisy z bank nebo případně dokladem o pojištění odpovědnosti za škodu způsobenou při výkonu povolání;</w:t>
            </w:r>
          </w:p>
          <w:p w:rsidR="006670EF" w:rsidRDefault="006670EF" w:rsidP="00914925">
            <w:pPr>
              <w:pStyle w:val="bukatabulky"/>
            </w:pPr>
            <w:r>
              <w:tab/>
              <w:t>b)</w:t>
            </w:r>
            <w:r>
              <w:tab/>
              <w:t>předložením rozvah nebo výpisů z rozvah, je-li zveřejnění rozvahy vyžadováno podle práva země, v níž je hospodářský subjekt usazen;</w:t>
            </w:r>
          </w:p>
          <w:p w:rsidR="006670EF" w:rsidRDefault="006670EF" w:rsidP="00914925">
            <w:pPr>
              <w:pStyle w:val="bukatabulky"/>
            </w:pPr>
            <w:r>
              <w:tab/>
              <w:t>c)</w:t>
            </w:r>
            <w:r>
              <w:tab/>
              <w:t xml:space="preserve">výkazem celkového obratu podniku a případně obratu v oblasti, která se zakázky týká, za nejvýše tři poslední účetní období, která jsou k dispozici, v závislosti na dni, kdy byl </w:t>
            </w:r>
            <w:r>
              <w:tab/>
              <w:t>podnik zřízen nebo založen nebo kdy hospodářský subjekt zahájil podnikání, pokud je informace o těchto obratech dostupná.</w:t>
            </w:r>
          </w:p>
          <w:p w:rsidR="006670EF" w:rsidRDefault="006670EF" w:rsidP="00914925">
            <w:pPr>
              <w:pStyle w:val="bukatabulky"/>
            </w:pPr>
            <w:r>
              <w:t xml:space="preserve">2.   Hospodářský subjekt může, je-li to nezbytné a pro určitou zakázku, využít schopností jiných subjektů, bez ohledu na právní povahu vztahů mezi ním a těmito subjekty. V tom </w:t>
            </w:r>
            <w:r>
              <w:lastRenderedPageBreak/>
              <w:t>případě musí zadavateli prokázat, že bude disponovat nezbytnými prostředky, například tím, že předloží závazek těchto subjektů v tomto směru.</w:t>
            </w:r>
          </w:p>
          <w:p w:rsidR="006670EF" w:rsidRDefault="006670EF" w:rsidP="00914925">
            <w:pPr>
              <w:pStyle w:val="bukatabulky"/>
            </w:pPr>
            <w:r>
              <w:t>3.   Za stejných podmínek může skupina hospodářských subjektů uvedená v článku 4 využít schopností účastníků skupiny nebo jiných subjektů.</w:t>
            </w:r>
          </w:p>
          <w:p w:rsidR="006670EF" w:rsidRDefault="006670EF" w:rsidP="00914925">
            <w:pPr>
              <w:pStyle w:val="bukatabulky"/>
            </w:pPr>
            <w:r>
              <w:t>4.   Zadavatel v oznámení o zakázce upřesní, který doklad nebo doklady uvedené v odstavci 1 vybral a jaké další doklady mají být poskytnuty.</w:t>
            </w:r>
          </w:p>
          <w:p w:rsidR="006670EF" w:rsidRDefault="006670EF" w:rsidP="00914925">
            <w:pPr>
              <w:pStyle w:val="bukatabulky"/>
            </w:pPr>
            <w:r>
              <w:t>5.   Jestliže z jakéhokoli oprávněného důvodu není hospodářský subjekt schopen poskytnout doklady požadované zadavatelem, může prokázat své hospodářské a finanční předpoklady jakýmkoli jiným dokladem, který zadavatel považuje za vhodný.</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32014L0025</w:t>
            </w:r>
          </w:p>
        </w:tc>
        <w:tc>
          <w:tcPr>
            <w:tcW w:w="299" w:type="pct"/>
            <w:shd w:val="clear" w:color="auto" w:fill="auto"/>
            <w:tcMar>
              <w:top w:w="57" w:type="dxa"/>
              <w:bottom w:w="57" w:type="dxa"/>
            </w:tcMar>
          </w:tcPr>
          <w:p w:rsidR="006670EF" w:rsidRDefault="006670EF" w:rsidP="00914925">
            <w:pPr>
              <w:pStyle w:val="bukatabulky"/>
            </w:pPr>
            <w:r>
              <w:t>Článek 80</w:t>
            </w:r>
          </w:p>
        </w:tc>
        <w:tc>
          <w:tcPr>
            <w:tcW w:w="3062" w:type="pct"/>
            <w:shd w:val="clear" w:color="auto" w:fill="auto"/>
            <w:tcMar>
              <w:top w:w="57" w:type="dxa"/>
              <w:bottom w:w="57" w:type="dxa"/>
            </w:tcMar>
          </w:tcPr>
          <w:p w:rsidR="006670EF" w:rsidRDefault="006670EF" w:rsidP="00914925">
            <w:pPr>
              <w:pStyle w:val="bukatabulky"/>
            </w:pPr>
            <w:r>
              <w:t>Článek 80</w:t>
            </w:r>
          </w:p>
          <w:p w:rsidR="006670EF" w:rsidRDefault="006670EF" w:rsidP="00914925">
            <w:pPr>
              <w:pStyle w:val="bukatabulky"/>
            </w:pPr>
            <w:r>
              <w:t>Použití důvodů pro vyloučení a kvalifikačních kritérií pro výběr uvedených ve směrnici 2014/24/EU</w:t>
            </w:r>
          </w:p>
          <w:p w:rsidR="006670EF" w:rsidRDefault="006670EF" w:rsidP="00914925">
            <w:pPr>
              <w:pStyle w:val="bukatabulky"/>
            </w:pPr>
            <w:r>
              <w:t>1.   Objektivní pravidla a kritéria pro vyloučení a výběr hospodářských subjektů žádajících o kvalifikaci v systému kvalifikace a objektivní pravidla a kritéria pro vyloučení a posouzení kvalifikace zájemců a uchazečů v otevřených, užších nebo jednacích řízeních, v soutěžních dialozích nebo v inovačních partnerstvích mohou zahrnovat důvody pro vyloučení uvedené v článku 57 směrnice 2014/24/EU za podmínek tam stanovených.</w:t>
            </w:r>
          </w:p>
          <w:p w:rsidR="006670EF" w:rsidRDefault="006670EF" w:rsidP="00914925">
            <w:pPr>
              <w:pStyle w:val="bukatabulky"/>
            </w:pPr>
            <w:r>
              <w:t>Pokud je zadavatelem veřejný zadavatel, tato kritéria a pravidla zahrnují důvody pro vyloučení uvedené v čl. 57 odst. 1 a 2 směrnice 2014/24/EU za podmínek stanovených v uvedeném článku.</w:t>
            </w:r>
          </w:p>
          <w:p w:rsidR="006670EF" w:rsidRDefault="006670EF" w:rsidP="00914925">
            <w:pPr>
              <w:pStyle w:val="bukatabulky"/>
            </w:pPr>
            <w:r>
              <w:t>Pokud tak vyžadují členské státy, zahrnují tato kritéria a pravidla navíc důvody pro vyloučení uvedené v čl. 57 odst. 4 směrnice 2014/24/EU za podmínek stanovených v uvedeném článku.</w:t>
            </w:r>
          </w:p>
          <w:p w:rsidR="006670EF" w:rsidRDefault="006670EF" w:rsidP="00914925">
            <w:pPr>
              <w:pStyle w:val="bukatabulky"/>
            </w:pPr>
            <w:r>
              <w:t>2.   Kritéria a pravidla uvedená v odstavci 1 tohoto článku mohou zahrnovat kvalifikační kritéria pro výběr stanovená v článku 58 směrnice 2014/24/EU za podmínek tam uvedených, zejména pokud jde o požadavky týkajících se ročních obratů, jak je uvedeno v odst. 3 druhém pododstavci uvedeného článku.</w:t>
            </w:r>
          </w:p>
          <w:p w:rsidR="006670EF" w:rsidRDefault="006670EF" w:rsidP="00914925">
            <w:pPr>
              <w:pStyle w:val="bukatabulky"/>
            </w:pPr>
            <w:r>
              <w:lastRenderedPageBreak/>
              <w:t>3.   Pro účely odstavců 1 a 2 tohoto článku se použijí články 59 až 61 směrnice 2014/24/EU.</w:t>
            </w:r>
          </w:p>
        </w:tc>
      </w:tr>
    </w:tbl>
    <w:p w:rsidR="00056077" w:rsidRDefault="00056077"/>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6670EF" w:rsidTr="00914925">
        <w:tc>
          <w:tcPr>
            <w:tcW w:w="372" w:type="pct"/>
            <w:vMerge w:val="restart"/>
            <w:shd w:val="clear" w:color="auto" w:fill="auto"/>
            <w:tcMar>
              <w:top w:w="57" w:type="dxa"/>
              <w:bottom w:w="57" w:type="dxa"/>
            </w:tcMar>
          </w:tcPr>
          <w:p w:rsidR="006670EF" w:rsidRPr="00F24CC7" w:rsidRDefault="006670EF" w:rsidP="00914925">
            <w:pPr>
              <w:pStyle w:val="bukatabulky"/>
              <w:rPr>
                <w:b/>
              </w:rPr>
            </w:pPr>
            <w:r w:rsidRPr="00F24CC7">
              <w:rPr>
                <w:b/>
              </w:rPr>
              <w:t>§ 78</w:t>
            </w:r>
            <w:r w:rsidRPr="00F24CC7">
              <w:rPr>
                <w:b/>
              </w:rPr>
              <w:t xml:space="preserve"> odst. 5</w:t>
            </w:r>
          </w:p>
        </w:tc>
        <w:tc>
          <w:tcPr>
            <w:tcW w:w="933" w:type="pct"/>
            <w:vMerge w:val="restart"/>
            <w:shd w:val="clear" w:color="auto" w:fill="auto"/>
            <w:tcMar>
              <w:top w:w="57" w:type="dxa"/>
              <w:bottom w:w="57" w:type="dxa"/>
            </w:tcMar>
          </w:tcPr>
          <w:p w:rsidR="006670EF" w:rsidRDefault="006670EF" w:rsidP="00914925">
            <w:pPr>
              <w:pStyle w:val="odstavec"/>
            </w:pPr>
            <w:r w:rsidRPr="006670EF">
              <w:tab/>
              <w:t xml:space="preserve">(5) Dodavatel prokáže obrat výkazem </w:t>
            </w:r>
            <w:r w:rsidRPr="006670EF">
              <w:rPr>
                <w:strike/>
              </w:rPr>
              <w:t>zisku a ztrát</w:t>
            </w:r>
            <w:r w:rsidRPr="006670EF">
              <w:rPr>
                <w:b/>
              </w:rPr>
              <w:t>výsledku hospodaření</w:t>
            </w:r>
            <w:r w:rsidRPr="006670EF">
              <w:t xml:space="preserve"> dodavatele nebo obdobným dokladem podle právního řádu země sídla dodavatele.</w:t>
            </w:r>
          </w:p>
        </w:tc>
        <w:tc>
          <w:tcPr>
            <w:tcW w:w="334" w:type="pct"/>
            <w:shd w:val="clear" w:color="auto" w:fill="auto"/>
            <w:tcMar>
              <w:top w:w="57" w:type="dxa"/>
              <w:bottom w:w="57" w:type="dxa"/>
            </w:tcMar>
          </w:tcPr>
          <w:p w:rsidR="006670EF" w:rsidRDefault="006670EF" w:rsidP="00914925">
            <w:pPr>
              <w:pStyle w:val="bukatabulky"/>
            </w:pPr>
            <w:r>
              <w:t>32014L0023</w:t>
            </w:r>
          </w:p>
        </w:tc>
        <w:tc>
          <w:tcPr>
            <w:tcW w:w="299" w:type="pct"/>
            <w:shd w:val="clear" w:color="auto" w:fill="auto"/>
            <w:tcMar>
              <w:top w:w="57" w:type="dxa"/>
              <w:bottom w:w="57" w:type="dxa"/>
            </w:tcMar>
          </w:tcPr>
          <w:p w:rsidR="006670EF" w:rsidRDefault="006670EF" w:rsidP="00914925">
            <w:pPr>
              <w:pStyle w:val="bukatabulky"/>
            </w:pPr>
            <w:r>
              <w:t>Článek 38 odst. 1</w:t>
            </w:r>
          </w:p>
        </w:tc>
        <w:tc>
          <w:tcPr>
            <w:tcW w:w="3062" w:type="pct"/>
            <w:shd w:val="clear" w:color="auto" w:fill="auto"/>
            <w:tcMar>
              <w:top w:w="57" w:type="dxa"/>
              <w:bottom w:w="57" w:type="dxa"/>
            </w:tcMar>
          </w:tcPr>
          <w:p w:rsidR="006670EF" w:rsidRDefault="006670EF" w:rsidP="00914925">
            <w:pPr>
              <w:pStyle w:val="bukatabulky"/>
            </w:pPr>
            <w:r>
              <w:t>Výběr a hodnocení zájemců na základě kvality</w:t>
            </w:r>
          </w:p>
          <w:p w:rsidR="006670EF" w:rsidRDefault="006670EF" w:rsidP="00914925">
            <w:pPr>
              <w:pStyle w:val="bukatabulky"/>
            </w:pPr>
            <w:r>
              <w:t>1.   Veřejní zadavatelé a zadavatelé ověří podmínky pro účast týkající se odborné a technické způsobilosti a finanční a ekonomické situace zájemců nebo uchazečů, a to na základě vlastních prohlášení, dokladu nebo dokladů, jež mají být předloženy jako důkaz v souladu s požadavky v oznámení o zahájení koncesního řízení, které nesmí být diskriminační a musí být úměrné předmětu koncese. Podmínky pro účast musí souviset s potřebou zajistit, aby byl koncesionář schopný plnit danou koncesi, a být této potřebě úměrné, přičemž je nutné zohlednit předmět koncese a to, že je třeba zajistit skutečnou soutěž.</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32014L0024</w:t>
            </w:r>
          </w:p>
        </w:tc>
        <w:tc>
          <w:tcPr>
            <w:tcW w:w="299" w:type="pct"/>
            <w:shd w:val="clear" w:color="auto" w:fill="auto"/>
            <w:tcMar>
              <w:top w:w="57" w:type="dxa"/>
              <w:bottom w:w="57" w:type="dxa"/>
            </w:tcMar>
          </w:tcPr>
          <w:p w:rsidR="006670EF" w:rsidRDefault="006670EF" w:rsidP="00914925">
            <w:pPr>
              <w:pStyle w:val="bukatabulky"/>
            </w:pPr>
            <w:r>
              <w:t>Článek 58</w:t>
            </w:r>
          </w:p>
        </w:tc>
        <w:tc>
          <w:tcPr>
            <w:tcW w:w="3062" w:type="pct"/>
            <w:shd w:val="clear" w:color="auto" w:fill="auto"/>
            <w:tcMar>
              <w:top w:w="57" w:type="dxa"/>
              <w:bottom w:w="57" w:type="dxa"/>
            </w:tcMar>
          </w:tcPr>
          <w:p w:rsidR="006670EF" w:rsidRDefault="006670EF" w:rsidP="00914925">
            <w:pPr>
              <w:pStyle w:val="bukatabulky"/>
            </w:pPr>
            <w:r>
              <w:t>1.   Kvalifikační kritéria pro výběr se mohou týkat:</w:t>
            </w:r>
          </w:p>
          <w:p w:rsidR="006670EF" w:rsidRDefault="006670EF" w:rsidP="00914925">
            <w:pPr>
              <w:pStyle w:val="bukatabulky"/>
            </w:pPr>
            <w:r>
              <w:t>a) vhodnosti pro výkon odborné činnosti;</w:t>
            </w:r>
          </w:p>
          <w:p w:rsidR="006670EF" w:rsidRDefault="006670EF" w:rsidP="00914925">
            <w:pPr>
              <w:pStyle w:val="bukatabulky"/>
            </w:pPr>
            <w:r>
              <w:t>b)ekonomické a finanční situace;</w:t>
            </w:r>
          </w:p>
          <w:p w:rsidR="006670EF" w:rsidRDefault="006670EF" w:rsidP="00914925">
            <w:pPr>
              <w:pStyle w:val="bukatabulky"/>
            </w:pPr>
            <w:r>
              <w:t>c) technické a odborné způsobilosti.</w:t>
            </w:r>
          </w:p>
          <w:p w:rsidR="006670EF" w:rsidRDefault="006670EF" w:rsidP="00914925">
            <w:pPr>
              <w:pStyle w:val="bukatabulky"/>
            </w:pPr>
            <w:r>
              <w:t>Veřejní zadavatelé mohou kritéria uvedená v odstavcích 2, 3 a 4 hospodářským subjektům uložit pouze jako požadavky pro účast. Požadavky omezí na ty, které zajišťují, aby měl zájemce nebo uchazeč právní a finanční způsobilost a technické a odborné schopnosti pro plnění veřejné zakázky, která má být zadána. Veškeré požadavky musí souviset s předmětem veřejné zakázky a být vzhledem k předmětu veřejné zakázky přiměřené.</w:t>
            </w:r>
          </w:p>
          <w:p w:rsidR="006670EF" w:rsidRDefault="006670EF" w:rsidP="00914925">
            <w:pPr>
              <w:pStyle w:val="bukatabulky"/>
            </w:pPr>
            <w:r>
              <w:t>2.   Pokud jde o vhodnost pro výkon odborné činnosti, mohou veřejní zadavatelé od hospodářských subjektů vyžadovat, aby byly zapsány v některém z profesních nebo obchodních rejstříků vedeném v členském státě, kde jsou usazeny, a uvedeném v příloze XI, nebo aby dodržely jiný požadavek stanovený v uvedené příloze.</w:t>
            </w:r>
          </w:p>
          <w:p w:rsidR="006670EF" w:rsidRDefault="006670EF" w:rsidP="00914925">
            <w:pPr>
              <w:pStyle w:val="bukatabulky"/>
            </w:pPr>
            <w:r>
              <w:lastRenderedPageBreak/>
              <w:t>Jsou-li v zadávacích řízeních na služby hospodářské subjekty povinny mít určité oprávnění nebo být členem určité organizace, aby mohly ve své zemi původu poskytovat danou službu, může veřejný zadavatel požadovat, aby prokázaly, že takové oprávnění či členství mají.</w:t>
            </w:r>
          </w:p>
          <w:p w:rsidR="006670EF" w:rsidRDefault="006670EF" w:rsidP="00914925">
            <w:pPr>
              <w:pStyle w:val="bukatabulky"/>
            </w:pPr>
            <w:r>
              <w:t>3.   Pokud jde o ekonomickou a finanční situaci, mohou veřejní zadavatelé stanovit požadavky k zajištění toho, aby hospodářské subjekty měly ekonomickou a finanční způsobilost nezbytnou k plnění veřejné zakázky. Za tímto účelem mohou veřejní zadavatelé zejména požadovat, aby hospodářské subjekty dosahovaly určitého minimálního ročního obratu, včetně určitého minimálního obratu v oblasti, které se veřejná zakázka týká. Nadto mohou veřejní zadavatelé vyžadovat, aby hospodářské subjekty poskytly informace o svých ročních účetních závěrkách, z nichž bude patrný například poměr mezi aktivy a pasivy. Požadovat mohou také odpovídající úroveň pojištění odpovědnosti za škodu způsobenou při výkonu povolání.</w:t>
            </w:r>
          </w:p>
          <w:p w:rsidR="006670EF" w:rsidRDefault="006670EF" w:rsidP="00914925">
            <w:pPr>
              <w:pStyle w:val="bukatabulky"/>
            </w:pPr>
            <w:r>
              <w:t>Minimální roční obrat, který se od hospodářských subjektů vyžaduje, nesmí přesahovat dvojnásobek odhadované hodnoty veřejné zakázky, kromě řádně odůvodněných případů, jako jsou případy spojené se zvláštními riziky, jež vyplývají z povahy stavebních prací, služeb nebo dodávek. Hlavní důvody pro tento požadavek uvede veřejný zadavatel v zadávací dokumentaci nebo v samostatné zprávě podle článku 84.</w:t>
            </w:r>
          </w:p>
          <w:p w:rsidR="006670EF" w:rsidRDefault="006670EF" w:rsidP="00914925">
            <w:pPr>
              <w:pStyle w:val="bukatabulky"/>
            </w:pPr>
            <w:r>
              <w:t>Například poměr mezi aktivy a pasivy lze zohlednit, pokud veřejný zadavatel metody a kritéria pro toto zohlednění uvedl v zadávací dokumentaci. Tyto metody a kritéria musí být transparentní, objektivní a nediskriminační.</w:t>
            </w:r>
          </w:p>
          <w:p w:rsidR="006670EF" w:rsidRDefault="006670EF" w:rsidP="00914925">
            <w:pPr>
              <w:pStyle w:val="bukatabulky"/>
            </w:pPr>
            <w:r>
              <w:t>Pokud je veřejná zakázka rozdělena na části, použije se tento článek na každou jednotlivou část. Veřejný zadavatel však může stanovit minimální roční obrat, který se od hospodářských subjektů vyžaduje, odkazem na soubory částí v případě, že úspěšnému uchazeči bude zadáno provedení několika částí současně.</w:t>
            </w:r>
          </w:p>
          <w:p w:rsidR="006670EF" w:rsidRDefault="006670EF" w:rsidP="00914925">
            <w:pPr>
              <w:pStyle w:val="bukatabulky"/>
            </w:pPr>
            <w:r>
              <w:t xml:space="preserve">Pokud mají být zadány veřejné zakázky na základě rámcové dohody po obnovení soutěže, vypočítá se požadavek na maximální roční obrat uvedený ve druhém pododstavci tohoto odstavce podle očekávaného maximálního rozsahu jednotlivých veřejných zakázek, jež budou prováděny současně, nebo není-li znám, podle odhadované hodnoty rámcové dohody. V případě dynamických nákupních systémů se požadavek na maximální roční obrat uvedený </w:t>
            </w:r>
            <w:r>
              <w:lastRenderedPageBreak/>
              <w:t>v druhém pododstavci vypočítá na základě očekávaného maximálního rozsahu jednotlivých veřejných zakázek, jež mají být v rámci tohoto systému zadány.</w:t>
            </w:r>
          </w:p>
          <w:p w:rsidR="006670EF" w:rsidRDefault="006670EF" w:rsidP="00914925">
            <w:pPr>
              <w:pStyle w:val="bukatabulky"/>
            </w:pPr>
            <w:r>
              <w:t>4.   Pokud jde o technickou a odbornou způsobilost, mohou veřejní zadavatelé stanovit požadavky k zajištění toho, aby hospodářské subjekty disponovaly lidskými a technickými zdroji a zkušenostmi, které jsou nezbytné pro plnění veřejné zakázky v odpovídající kvalitě.</w:t>
            </w:r>
          </w:p>
          <w:p w:rsidR="006670EF" w:rsidRDefault="006670EF" w:rsidP="00914925">
            <w:pPr>
              <w:pStyle w:val="bukatabulky"/>
            </w:pPr>
            <w:r>
              <w:t>Veřejní zadavatelé mohou zejména požadovat, aby hospodářské subjekty disponovaly dostatečnými zkušenostmi, prokázanými prostřednictvím vhodných referencí na veřejné zakázky plněné v minulosti. Veřejný zadavatel může vycházet z předpokladu, že hospodářský subjekt nemá požadované profesní schopnosti, pokud zjistil, že hospodářský subjekt má protichůdné zájmy, jež by mohly negativně ovlivnit plnění veřejné zakázky.</w:t>
            </w:r>
          </w:p>
          <w:p w:rsidR="006670EF" w:rsidRDefault="006670EF" w:rsidP="00914925">
            <w:pPr>
              <w:pStyle w:val="bukatabulky"/>
            </w:pPr>
            <w:r>
              <w:t>V zadávacích řízeních na dodávky vyžadující umístění stavby nebo instalační práce, služby nebo stavební práce lze profesní způsobilost hospodářských subjektů k poskytnutí služeb nebo provedení instalace nebo stavby hodnotit s přihlédnutím k jejich dovednostem, výkonnosti, zkušenosti a spolehlivosti.</w:t>
            </w:r>
          </w:p>
          <w:p w:rsidR="006670EF" w:rsidRDefault="006670EF" w:rsidP="00914925">
            <w:pPr>
              <w:pStyle w:val="bukatabulky"/>
            </w:pPr>
            <w:r>
              <w:t>5.   Veřejní dodavatelé uvedou požadované podmínky účasti, jež mohou být vyjádřeny jako minimální úroveň způsobilosti, spolu s vhodnými doklady v oznámení o zahájení zadávacího řízení nebo ve výzvě k potvrzení zájmu.</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32014L0025</w:t>
            </w:r>
          </w:p>
        </w:tc>
        <w:tc>
          <w:tcPr>
            <w:tcW w:w="299" w:type="pct"/>
            <w:shd w:val="clear" w:color="auto" w:fill="auto"/>
            <w:tcMar>
              <w:top w:w="57" w:type="dxa"/>
              <w:bottom w:w="57" w:type="dxa"/>
            </w:tcMar>
          </w:tcPr>
          <w:p w:rsidR="006670EF" w:rsidRDefault="006670EF" w:rsidP="00914925">
            <w:pPr>
              <w:pStyle w:val="bukatabulky"/>
            </w:pPr>
            <w:r>
              <w:t>Článek 78</w:t>
            </w:r>
          </w:p>
        </w:tc>
        <w:tc>
          <w:tcPr>
            <w:tcW w:w="3062" w:type="pct"/>
            <w:shd w:val="clear" w:color="auto" w:fill="auto"/>
            <w:tcMar>
              <w:top w:w="57" w:type="dxa"/>
              <w:bottom w:w="57" w:type="dxa"/>
            </w:tcMar>
          </w:tcPr>
          <w:p w:rsidR="006670EF" w:rsidRDefault="006670EF" w:rsidP="00914925">
            <w:pPr>
              <w:pStyle w:val="bukatabulky"/>
            </w:pPr>
            <w:r>
              <w:t>Kritéria pro výběr na základě kvalifikace</w:t>
            </w:r>
          </w:p>
          <w:p w:rsidR="006670EF" w:rsidRDefault="006670EF" w:rsidP="00914925">
            <w:pPr>
              <w:pStyle w:val="bukatabulky"/>
            </w:pPr>
            <w:r>
              <w:t>1.   Zadavatelé mohou stanovit objektivní pravidla a kritéria pro vyloučení a výběr uchazečů nebo zájemců; tato pravidla a kritéria jsou k dispozici hospodářským subjektům, kteří o to mají zájem.</w:t>
            </w:r>
          </w:p>
          <w:p w:rsidR="006670EF" w:rsidRDefault="006670EF" w:rsidP="00914925">
            <w:pPr>
              <w:pStyle w:val="bukatabulky"/>
            </w:pPr>
            <w:r>
              <w:t>2.   V případě, že zadavatelé potřebují zajistit náležitou rovnováhu mezi zvláštní povahou zadávacího řízení a zdroji potřebnými pro jeho uskutečnění, mohou v užších řízeních nebo jednacích řízeních, soutěžních dialozích či inovačních partnerstvích stanovit objektivní pravidla a kritéria, která odrážejí tuto potřebu a umožňují zadavateli omezit počet zájemců, kteří budou vyzváni k podání nabídky nebo k jednání. Počet vybraných zájemců však musí zohledňovat nutnost zajištění přiměřené soutěže.</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32009L0081</w:t>
            </w:r>
          </w:p>
        </w:tc>
        <w:tc>
          <w:tcPr>
            <w:tcW w:w="299" w:type="pct"/>
            <w:shd w:val="clear" w:color="auto" w:fill="auto"/>
            <w:tcMar>
              <w:top w:w="57" w:type="dxa"/>
              <w:bottom w:w="57" w:type="dxa"/>
            </w:tcMar>
          </w:tcPr>
          <w:p w:rsidR="006670EF" w:rsidRDefault="006670EF" w:rsidP="00914925">
            <w:pPr>
              <w:pStyle w:val="bukatabulky"/>
            </w:pPr>
            <w:r>
              <w:t>Článek 41</w:t>
            </w:r>
          </w:p>
        </w:tc>
        <w:tc>
          <w:tcPr>
            <w:tcW w:w="3062" w:type="pct"/>
            <w:shd w:val="clear" w:color="auto" w:fill="auto"/>
            <w:tcMar>
              <w:top w:w="57" w:type="dxa"/>
              <w:bottom w:w="57" w:type="dxa"/>
            </w:tcMar>
          </w:tcPr>
          <w:p w:rsidR="006670EF" w:rsidRDefault="006670EF" w:rsidP="00914925">
            <w:pPr>
              <w:pStyle w:val="bukatabulky"/>
            </w:pPr>
            <w:r>
              <w:t>Hospodářské a finanční předpoklady</w:t>
            </w:r>
          </w:p>
          <w:p w:rsidR="006670EF" w:rsidRDefault="006670EF" w:rsidP="00914925">
            <w:pPr>
              <w:pStyle w:val="bukatabulky"/>
            </w:pPr>
            <w:r>
              <w:t>1.   Důkaz o hospodářských a finančních předpokladech hospodářského subjektu může být poskytnut zpravidla jedním nebo více z těchto dokladů:</w:t>
            </w:r>
          </w:p>
          <w:p w:rsidR="006670EF" w:rsidRDefault="006670EF" w:rsidP="00914925">
            <w:pPr>
              <w:pStyle w:val="bukatabulky"/>
            </w:pPr>
            <w:r>
              <w:tab/>
              <w:t>a)</w:t>
            </w:r>
            <w:r>
              <w:tab/>
              <w:t>vhodnými výpisy z bank nebo případně dokladem o pojištění odpovědnosti za škodu způsobenou při výkonu povolání;</w:t>
            </w:r>
          </w:p>
          <w:p w:rsidR="006670EF" w:rsidRDefault="006670EF" w:rsidP="00914925">
            <w:pPr>
              <w:pStyle w:val="bukatabulky"/>
            </w:pPr>
            <w:r>
              <w:tab/>
              <w:t>b)</w:t>
            </w:r>
            <w:r>
              <w:tab/>
              <w:t>předložením rozvah nebo výpisů z rozvah, je-li zveřejnění rozvahy vyžadováno podle práva země, v níž je hospodářský subjekt usazen;</w:t>
            </w:r>
          </w:p>
          <w:p w:rsidR="006670EF" w:rsidRDefault="006670EF" w:rsidP="00914925">
            <w:pPr>
              <w:pStyle w:val="bukatabulky"/>
            </w:pPr>
            <w:r>
              <w:tab/>
              <w:t>c)</w:t>
            </w:r>
            <w:r>
              <w:tab/>
              <w:t xml:space="preserve">výkazem celkového obratu podniku a případně obratu v oblasti, která se zakázky týká, za nejvýše tři poslední účetní období, která jsou k dispozici, v závislosti na dni, kdy byl </w:t>
            </w:r>
            <w:r>
              <w:tab/>
              <w:t>podnik zřízen nebo založen nebo kdy hospodářský subjekt zahájil podnikání, pokud je informace o těchto obratech dostupná.</w:t>
            </w:r>
          </w:p>
          <w:p w:rsidR="006670EF" w:rsidRDefault="006670EF" w:rsidP="00914925">
            <w:pPr>
              <w:pStyle w:val="bukatabulky"/>
            </w:pPr>
            <w:r>
              <w:t>2.   Hospodářský subjekt může, je-li to nezbytné a pro určitou zakázku, využít schopností jiných subjektů, bez ohledu na právní povahu vztahů mezi ním a těmito subjekty. V tom případě musí zadavateli prokázat, že bude disponovat nezbytnými prostředky, například tím, že předloží závazek těchto subjektů v tomto směru.</w:t>
            </w:r>
          </w:p>
          <w:p w:rsidR="006670EF" w:rsidRDefault="006670EF" w:rsidP="00914925">
            <w:pPr>
              <w:pStyle w:val="bukatabulky"/>
            </w:pPr>
            <w:r>
              <w:t>3.   Za stejných podmínek může skupina hospodářských subjektů uvedená v článku 4 využít schopností účastníků skupiny nebo jiných subjektů.</w:t>
            </w:r>
          </w:p>
          <w:p w:rsidR="006670EF" w:rsidRDefault="006670EF" w:rsidP="00914925">
            <w:pPr>
              <w:pStyle w:val="bukatabulky"/>
            </w:pPr>
            <w:r>
              <w:t>4.   Zadavatel v oznámení o zakázce upřesní, který doklad nebo doklady uvedené v odstavci 1 vybral a jaké další doklady mají být poskytnuty.</w:t>
            </w:r>
          </w:p>
          <w:p w:rsidR="006670EF" w:rsidRDefault="006670EF" w:rsidP="00914925">
            <w:pPr>
              <w:pStyle w:val="bukatabulky"/>
            </w:pPr>
            <w:r>
              <w:t>5.   Jestliže z jakéhokoli oprávněného důvodu není hospodářský subjekt schopen poskytnout doklady požadované zadavatelem, může prokázat své hospodářské a finanční předpoklady jakýmkoli jiným dokladem, který zadavatel považuje za vhodný.</w:t>
            </w:r>
          </w:p>
        </w:tc>
      </w:tr>
      <w:tr w:rsidR="006670EF" w:rsidTr="00914925">
        <w:tc>
          <w:tcPr>
            <w:tcW w:w="372" w:type="pct"/>
            <w:vMerge/>
            <w:shd w:val="clear" w:color="auto" w:fill="auto"/>
            <w:tcMar>
              <w:top w:w="57" w:type="dxa"/>
              <w:bottom w:w="57" w:type="dxa"/>
            </w:tcMar>
          </w:tcPr>
          <w:p w:rsidR="006670EF" w:rsidRDefault="006670EF" w:rsidP="00914925">
            <w:pPr>
              <w:pStyle w:val="bukatabulky"/>
            </w:pPr>
          </w:p>
        </w:tc>
        <w:tc>
          <w:tcPr>
            <w:tcW w:w="933" w:type="pct"/>
            <w:vMerge/>
            <w:shd w:val="clear" w:color="auto" w:fill="auto"/>
            <w:tcMar>
              <w:top w:w="57" w:type="dxa"/>
              <w:bottom w:w="57" w:type="dxa"/>
            </w:tcMar>
          </w:tcPr>
          <w:p w:rsidR="006670EF" w:rsidRDefault="006670EF" w:rsidP="00914925">
            <w:pPr>
              <w:pStyle w:val="odstavec"/>
            </w:pPr>
          </w:p>
        </w:tc>
        <w:tc>
          <w:tcPr>
            <w:tcW w:w="334" w:type="pct"/>
            <w:shd w:val="clear" w:color="auto" w:fill="auto"/>
            <w:tcMar>
              <w:top w:w="57" w:type="dxa"/>
              <w:bottom w:w="57" w:type="dxa"/>
            </w:tcMar>
          </w:tcPr>
          <w:p w:rsidR="006670EF" w:rsidRDefault="006670EF" w:rsidP="00914925">
            <w:pPr>
              <w:pStyle w:val="bukatabulky"/>
            </w:pPr>
            <w:r>
              <w:t>32014L0025</w:t>
            </w:r>
          </w:p>
        </w:tc>
        <w:tc>
          <w:tcPr>
            <w:tcW w:w="299" w:type="pct"/>
            <w:shd w:val="clear" w:color="auto" w:fill="auto"/>
            <w:tcMar>
              <w:top w:w="57" w:type="dxa"/>
              <w:bottom w:w="57" w:type="dxa"/>
            </w:tcMar>
          </w:tcPr>
          <w:p w:rsidR="006670EF" w:rsidRDefault="006670EF" w:rsidP="00914925">
            <w:pPr>
              <w:pStyle w:val="bukatabulky"/>
            </w:pPr>
            <w:r>
              <w:t>Článek 80</w:t>
            </w:r>
          </w:p>
        </w:tc>
        <w:tc>
          <w:tcPr>
            <w:tcW w:w="3062" w:type="pct"/>
            <w:shd w:val="clear" w:color="auto" w:fill="auto"/>
            <w:tcMar>
              <w:top w:w="57" w:type="dxa"/>
              <w:bottom w:w="57" w:type="dxa"/>
            </w:tcMar>
          </w:tcPr>
          <w:p w:rsidR="006670EF" w:rsidRDefault="006670EF" w:rsidP="00914925">
            <w:pPr>
              <w:pStyle w:val="bukatabulky"/>
            </w:pPr>
            <w:r>
              <w:t>Článek 80</w:t>
            </w:r>
          </w:p>
          <w:p w:rsidR="006670EF" w:rsidRDefault="006670EF" w:rsidP="00914925">
            <w:pPr>
              <w:pStyle w:val="bukatabulky"/>
            </w:pPr>
            <w:r>
              <w:t>Použití důvodů pro vyloučení a kvalifikačních kritérií pro výběr uvedených ve směrnici 2014/24/EU</w:t>
            </w:r>
          </w:p>
          <w:p w:rsidR="006670EF" w:rsidRDefault="006670EF" w:rsidP="00914925">
            <w:pPr>
              <w:pStyle w:val="bukatabulky"/>
            </w:pPr>
            <w:r>
              <w:lastRenderedPageBreak/>
              <w:t>1.   Objektivní pravidla a kritéria pro vyloučení a výběr hospodářských subjektů žádajících o kvalifikaci v systému kvalifikace a objektivní pravidla a kritéria pro vyloučení a posouzení kvalifikace zájemců a uchazečů v otevřených, užších nebo jednacích řízeních, v soutěžních dialozích nebo v inovačních partnerstvích mohou zahrnovat důvody pro vyloučení uvedené v článku 57 směrnice 2014/24/EU za podmínek tam stanovených.</w:t>
            </w:r>
          </w:p>
          <w:p w:rsidR="006670EF" w:rsidRDefault="006670EF" w:rsidP="00914925">
            <w:pPr>
              <w:pStyle w:val="bukatabulky"/>
            </w:pPr>
            <w:r>
              <w:t>Pokud je zadavatelem veřejný zadavatel, tato kritéria a pravidla zahrnují důvody pro vyloučení uvedené v čl. 57 odst. 1 a 2 směrnice 2014/24/EU za podmínek stanovených v uvedeném článku.</w:t>
            </w:r>
          </w:p>
          <w:p w:rsidR="006670EF" w:rsidRDefault="006670EF" w:rsidP="00914925">
            <w:pPr>
              <w:pStyle w:val="bukatabulky"/>
            </w:pPr>
            <w:r>
              <w:t>Pokud tak vyžadují členské státy, zahrnují tato kritéria a pravidla navíc důvody pro vyloučení uvedené v čl. 57 odst. 4 směrnice 2014/24/EU za podmínek stanovených v uvedeném článku.</w:t>
            </w:r>
          </w:p>
          <w:p w:rsidR="006670EF" w:rsidRDefault="006670EF" w:rsidP="00914925">
            <w:pPr>
              <w:pStyle w:val="bukatabulky"/>
            </w:pPr>
            <w:r>
              <w:t>2.   Kritéria a pravidla uvedená v odstavci 1 tohoto článku mohou zahrnovat kvalifikační kritéria pro výběr stanovená v článku 58 směrnice 2014/24/EU za podmínek tam uvedených, zejména pokud jde o požadavky týkajících se ročních obratů, jak je uvedeno v odst. 3 druhém pododstavci uvedeného článku.</w:t>
            </w:r>
          </w:p>
          <w:p w:rsidR="006670EF" w:rsidRDefault="006670EF" w:rsidP="00914925">
            <w:pPr>
              <w:pStyle w:val="bukatabulky"/>
            </w:pPr>
            <w:r>
              <w:t>3.   Pro účely odstavců 1 a 2 tohoto článku se použijí články 59 až 61 směrnice 2014/24/EU.</w:t>
            </w:r>
          </w:p>
        </w:tc>
      </w:tr>
    </w:tbl>
    <w:p w:rsidR="006670EF" w:rsidRDefault="006670EF"/>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527412" w:rsidTr="00914925">
        <w:tc>
          <w:tcPr>
            <w:tcW w:w="372" w:type="pct"/>
            <w:vMerge w:val="restart"/>
            <w:shd w:val="clear" w:color="auto" w:fill="auto"/>
            <w:tcMar>
              <w:top w:w="57" w:type="dxa"/>
              <w:bottom w:w="57" w:type="dxa"/>
            </w:tcMar>
          </w:tcPr>
          <w:p w:rsidR="00527412" w:rsidRPr="00F24CC7" w:rsidRDefault="00527412" w:rsidP="00914925">
            <w:pPr>
              <w:pStyle w:val="bukatabulky"/>
              <w:rPr>
                <w:b/>
              </w:rPr>
            </w:pPr>
            <w:r w:rsidRPr="00F24CC7">
              <w:rPr>
                <w:b/>
              </w:rPr>
              <w:t>§ 117</w:t>
            </w:r>
          </w:p>
        </w:tc>
        <w:tc>
          <w:tcPr>
            <w:tcW w:w="933" w:type="pct"/>
            <w:vMerge w:val="restart"/>
            <w:shd w:val="clear" w:color="auto" w:fill="auto"/>
            <w:tcMar>
              <w:top w:w="57" w:type="dxa"/>
              <w:bottom w:w="57" w:type="dxa"/>
            </w:tcMar>
          </w:tcPr>
          <w:p w:rsidR="00527412" w:rsidRDefault="00527412" w:rsidP="00527412">
            <w:pPr>
              <w:pStyle w:val="odstavec"/>
            </w:pPr>
            <w:r>
              <w:t>Náklady životního cyklu musí zahrnovat nabídkovou cenu a mohou zahrnovat</w:t>
            </w:r>
          </w:p>
          <w:p w:rsidR="00527412" w:rsidRDefault="00527412" w:rsidP="00527412">
            <w:pPr>
              <w:pStyle w:val="odstavec"/>
            </w:pPr>
            <w:r>
              <w:t xml:space="preserve"> </w:t>
            </w:r>
          </w:p>
          <w:p w:rsidR="00527412" w:rsidRDefault="00527412" w:rsidP="00527412">
            <w:pPr>
              <w:pStyle w:val="odstavec"/>
            </w:pPr>
            <w:r>
              <w:t>a) náklady zadavatele nebo jiných uživatelů v průběhu životního cyklu předmětu veřejné zakázky, kterými mohou být zejména</w:t>
            </w:r>
          </w:p>
          <w:p w:rsidR="00527412" w:rsidRDefault="00527412" w:rsidP="00527412">
            <w:pPr>
              <w:pStyle w:val="odstavec"/>
            </w:pPr>
            <w:r>
              <w:lastRenderedPageBreak/>
              <w:t xml:space="preserve">1. ostatní </w:t>
            </w:r>
            <w:r w:rsidRPr="00527412">
              <w:rPr>
                <w:strike/>
              </w:rPr>
              <w:t>pořizovací náklady</w:t>
            </w:r>
            <w:r w:rsidRPr="00527412">
              <w:rPr>
                <w:b/>
              </w:rPr>
              <w:t>pořizovací výdaje</w:t>
            </w:r>
            <w:r>
              <w:t>,</w:t>
            </w:r>
          </w:p>
          <w:p w:rsidR="00527412" w:rsidRDefault="00527412" w:rsidP="00527412">
            <w:pPr>
              <w:pStyle w:val="odstavec"/>
            </w:pPr>
            <w:r>
              <w:t>2. náklady související s užíváním předmětu veřejné zakázky,</w:t>
            </w:r>
          </w:p>
          <w:p w:rsidR="00527412" w:rsidRDefault="00527412" w:rsidP="00527412">
            <w:pPr>
              <w:pStyle w:val="odstavec"/>
            </w:pPr>
            <w:r>
              <w:t>3. náklady na údržbu, nebo</w:t>
            </w:r>
          </w:p>
          <w:p w:rsidR="00527412" w:rsidRDefault="00527412" w:rsidP="00527412">
            <w:pPr>
              <w:pStyle w:val="odstavec"/>
            </w:pPr>
            <w:r>
              <w:t>4. náklady spojené s koncem životnosti, nebo</w:t>
            </w:r>
          </w:p>
          <w:p w:rsidR="00527412" w:rsidRDefault="00527412" w:rsidP="00527412">
            <w:pPr>
              <w:pStyle w:val="odstavec"/>
            </w:pPr>
            <w:r>
              <w:t xml:space="preserve"> </w:t>
            </w:r>
          </w:p>
          <w:p w:rsidR="00527412" w:rsidRDefault="00527412" w:rsidP="00527412">
            <w:pPr>
              <w:pStyle w:val="psmeno"/>
            </w:pPr>
            <w:r>
              <w:t xml:space="preserve">b) náklady způsobené dopady na životní prostředí, které jsou spojeny s předmětem plnění veřejné zakázky kdykoli v průběhu jeho životního cyklu, a to v případě, že lze vyčíslit jejich peněžní hodnotu; mohou jimi být zejména náklady na emise skleníkových plynů nebo jiných </w:t>
            </w:r>
            <w:r>
              <w:lastRenderedPageBreak/>
              <w:t>znečišťujících látek nebo jiné náklady na zmírnění změny klimatu.</w:t>
            </w:r>
          </w:p>
        </w:tc>
        <w:tc>
          <w:tcPr>
            <w:tcW w:w="334" w:type="pct"/>
            <w:shd w:val="clear" w:color="auto" w:fill="auto"/>
            <w:tcMar>
              <w:top w:w="57" w:type="dxa"/>
              <w:bottom w:w="57" w:type="dxa"/>
            </w:tcMar>
          </w:tcPr>
          <w:p w:rsidR="00527412" w:rsidRDefault="00527412" w:rsidP="00914925">
            <w:pPr>
              <w:pStyle w:val="bukatabulky"/>
            </w:pPr>
            <w:r>
              <w:lastRenderedPageBreak/>
              <w:t>32014L0025</w:t>
            </w:r>
          </w:p>
        </w:tc>
        <w:tc>
          <w:tcPr>
            <w:tcW w:w="299" w:type="pct"/>
            <w:shd w:val="clear" w:color="auto" w:fill="auto"/>
            <w:tcMar>
              <w:top w:w="57" w:type="dxa"/>
              <w:bottom w:w="57" w:type="dxa"/>
            </w:tcMar>
          </w:tcPr>
          <w:p w:rsidR="00527412" w:rsidRDefault="00527412" w:rsidP="00914925">
            <w:pPr>
              <w:pStyle w:val="bukatabulky"/>
            </w:pPr>
            <w:r>
              <w:t>Článek 2 bod 16</w:t>
            </w:r>
          </w:p>
        </w:tc>
        <w:tc>
          <w:tcPr>
            <w:tcW w:w="3062" w:type="pct"/>
            <w:shd w:val="clear" w:color="auto" w:fill="auto"/>
            <w:tcMar>
              <w:top w:w="57" w:type="dxa"/>
              <w:bottom w:w="57" w:type="dxa"/>
            </w:tcMar>
          </w:tcPr>
          <w:p w:rsidR="00527412" w:rsidRDefault="00527412" w:rsidP="00914925">
            <w:pPr>
              <w:pStyle w:val="bukatabulky"/>
            </w:pPr>
            <w:r>
              <w:t>16) „životním cyklem“ se rozumějí všechny po sobě jdoucí nebo provázané fáze, zahrnující výzkum a vývoj, pokud mají být provedeny, výrobu, obchod a jeho podmínky, přepravu, užívání a údržbu, po celou dobu existence výrobku nebo stavby nebo poskytování služby, od získání surovin nebo vytvoření zdrojů po odstranění, likvidaci a ukončení služby nebo používání;</w:t>
            </w:r>
          </w:p>
          <w:p w:rsidR="00527412" w:rsidRDefault="00527412" w:rsidP="00914925">
            <w:pPr>
              <w:pStyle w:val="bukatabulky"/>
            </w:pPr>
            <w:r>
              <w:t xml:space="preserve"> </w:t>
            </w: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32014L0024</w:t>
            </w:r>
          </w:p>
        </w:tc>
        <w:tc>
          <w:tcPr>
            <w:tcW w:w="299" w:type="pct"/>
            <w:shd w:val="clear" w:color="auto" w:fill="auto"/>
            <w:tcMar>
              <w:top w:w="57" w:type="dxa"/>
              <w:bottom w:w="57" w:type="dxa"/>
            </w:tcMar>
          </w:tcPr>
          <w:p w:rsidR="00527412" w:rsidRDefault="00527412" w:rsidP="00914925">
            <w:pPr>
              <w:pStyle w:val="bukatabulky"/>
            </w:pPr>
            <w:r>
              <w:t>Článek 2 odst. 1 bod 20</w:t>
            </w:r>
          </w:p>
        </w:tc>
        <w:tc>
          <w:tcPr>
            <w:tcW w:w="3062" w:type="pct"/>
            <w:shd w:val="clear" w:color="auto" w:fill="auto"/>
            <w:tcMar>
              <w:top w:w="57" w:type="dxa"/>
              <w:bottom w:w="57" w:type="dxa"/>
            </w:tcMar>
          </w:tcPr>
          <w:p w:rsidR="00527412" w:rsidRDefault="00527412" w:rsidP="00914925">
            <w:pPr>
              <w:pStyle w:val="bukatabulky"/>
            </w:pPr>
            <w:r>
              <w:t xml:space="preserve">„životním cyklem“ se rozumějí všechny po sobě jdoucí nebo provázané fáze, zahrnující výzkum a vývoj, pokud mají být provedeny, výrobu, obchod a jeho podmínky, přepravu, užívání a údržbu, po celou dobu existence výrobku nebo stavby nebo poskytování služby, </w:t>
            </w:r>
            <w:r>
              <w:lastRenderedPageBreak/>
              <w:t>od získání surovin nebo vytvoření zdrojů po odstranění, likvidaci a ukončení služby nebo používání;</w:t>
            </w: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32009L0081</w:t>
            </w:r>
          </w:p>
        </w:tc>
        <w:tc>
          <w:tcPr>
            <w:tcW w:w="299" w:type="pct"/>
            <w:shd w:val="clear" w:color="auto" w:fill="auto"/>
            <w:tcMar>
              <w:top w:w="57" w:type="dxa"/>
              <w:bottom w:w="57" w:type="dxa"/>
            </w:tcMar>
          </w:tcPr>
          <w:p w:rsidR="00527412" w:rsidRDefault="00527412" w:rsidP="00914925">
            <w:pPr>
              <w:pStyle w:val="bukatabulky"/>
            </w:pPr>
            <w:r>
              <w:t>Článek 1 odst.. 26</w:t>
            </w:r>
          </w:p>
        </w:tc>
        <w:tc>
          <w:tcPr>
            <w:tcW w:w="3062" w:type="pct"/>
            <w:shd w:val="clear" w:color="auto" w:fill="auto"/>
            <w:tcMar>
              <w:top w:w="57" w:type="dxa"/>
              <w:bottom w:w="57" w:type="dxa"/>
            </w:tcMar>
          </w:tcPr>
          <w:p w:rsidR="00527412" w:rsidRDefault="00527412" w:rsidP="00914925">
            <w:pPr>
              <w:pStyle w:val="bukatabulky"/>
            </w:pPr>
            <w:r>
              <w:t>Definice</w:t>
            </w:r>
          </w:p>
          <w:p w:rsidR="00527412" w:rsidRDefault="00527412" w:rsidP="00914925">
            <w:pPr>
              <w:pStyle w:val="bukatabulky"/>
            </w:pPr>
            <w:r>
              <w:t>Pro účely této směrnice se rozumí:</w:t>
            </w:r>
          </w:p>
          <w:p w:rsidR="00527412" w:rsidRDefault="00527412" w:rsidP="00914925">
            <w:pPr>
              <w:pStyle w:val="bukatabulky"/>
            </w:pPr>
            <w:r>
              <w:t>26.</w:t>
            </w:r>
            <w:r>
              <w:tab/>
              <w:t>„životním cyklem“ veškeré možné postupné fáze výrobku, tj. jeho výzkum a vývoj, průmyslový vývoj, výroba, opravy, modernizace, úpravy, údržba, logistika, školení, testování, stažení z trhu a likvidace;</w:t>
            </w: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32009L0081</w:t>
            </w:r>
          </w:p>
        </w:tc>
        <w:tc>
          <w:tcPr>
            <w:tcW w:w="299" w:type="pct"/>
            <w:shd w:val="clear" w:color="auto" w:fill="auto"/>
            <w:tcMar>
              <w:top w:w="57" w:type="dxa"/>
              <w:bottom w:w="57" w:type="dxa"/>
            </w:tcMar>
          </w:tcPr>
          <w:p w:rsidR="00527412" w:rsidRDefault="00527412" w:rsidP="00914925">
            <w:pPr>
              <w:pStyle w:val="bukatabulky"/>
            </w:pPr>
            <w:r>
              <w:t>Článek 47</w:t>
            </w:r>
          </w:p>
        </w:tc>
        <w:tc>
          <w:tcPr>
            <w:tcW w:w="3062" w:type="pct"/>
            <w:shd w:val="clear" w:color="auto" w:fill="auto"/>
            <w:tcMar>
              <w:top w:w="57" w:type="dxa"/>
              <w:bottom w:w="57" w:type="dxa"/>
            </w:tcMar>
          </w:tcPr>
          <w:p w:rsidR="00527412" w:rsidRDefault="00527412" w:rsidP="00914925">
            <w:pPr>
              <w:pStyle w:val="bukatabulky"/>
            </w:pPr>
            <w:r>
              <w:t>Kritéria pro zadání zakázky</w:t>
            </w:r>
          </w:p>
          <w:p w:rsidR="00527412" w:rsidRDefault="00527412" w:rsidP="00914925">
            <w:pPr>
              <w:pStyle w:val="bukatabulky"/>
            </w:pPr>
            <w:r>
              <w:t>1.   Aniž jsou dotčeny vnitrostátní právní a správní předpisy o odměňování určitých služeb, vycházejí zadavatelé při zadávání zakázek z těchto kritérií:</w:t>
            </w:r>
          </w:p>
          <w:p w:rsidR="00527412" w:rsidRDefault="00527412" w:rsidP="00914925">
            <w:pPr>
              <w:pStyle w:val="bukatabulky"/>
            </w:pPr>
            <w:r>
              <w:tab/>
              <w:t>a)</w:t>
            </w:r>
            <w:r>
              <w:tab/>
              <w:t xml:space="preserve">pokud se zakázka zadává na základě hospodářsky nejvýhodnější nabídky z hlediska zadavatele, různá kritéria spojená s předmětem dané zakázky, jako jsou kvalita, cena, </w:t>
            </w:r>
            <w:r>
              <w:tab/>
              <w:t xml:space="preserve">technická úroveň, funkční vlastnosti, vlastnosti z hlediska vlivu na životní prostředí, provozní náklady, náklady v průběhu životního cyklu, návratnost nákladů, záruční servis a </w:t>
            </w:r>
            <w:r>
              <w:tab/>
              <w:t>technická pomoc, datum dodání, dodací lhůta a lhůta pro dokončení, bezpečnost dodávek, interoperabilita a provozní vlastnosti; nebo</w:t>
            </w:r>
          </w:p>
          <w:p w:rsidR="00527412" w:rsidRDefault="00527412" w:rsidP="00914925">
            <w:pPr>
              <w:pStyle w:val="bukatabulky"/>
            </w:pPr>
            <w:r>
              <w:tab/>
              <w:t>b)</w:t>
            </w:r>
            <w:r>
              <w:tab/>
              <w:t>pouze nejnižší cena.</w:t>
            </w:r>
          </w:p>
          <w:p w:rsidR="00527412" w:rsidRDefault="00527412" w:rsidP="00914925">
            <w:pPr>
              <w:pStyle w:val="bukatabulky"/>
            </w:pPr>
            <w:r>
              <w:t>2.   Aniž je dotčen třetí pododstavec, uvede v případě uvedeném v odst. 1 písm. a) zadavatel v dokumentech týkajících se zakázky (oznámení o zakázce, zadávací dokumentaci, popisných dokumentech nebo dodatečných dokumentech) poměrnou váhu, kterou přikládá každému z kritérií vybraných k určení hospodářsky nejvýhodnější nabídky.</w:t>
            </w:r>
          </w:p>
          <w:p w:rsidR="00527412" w:rsidRDefault="00527412" w:rsidP="00914925">
            <w:pPr>
              <w:pStyle w:val="bukatabulky"/>
            </w:pPr>
            <w:r>
              <w:t>Tato váha může být vyjádřena stanovením rozmezí s přiměřeným maximálním rozpětím.</w:t>
            </w:r>
          </w:p>
          <w:p w:rsidR="00527412" w:rsidRDefault="00527412" w:rsidP="00914925">
            <w:pPr>
              <w:pStyle w:val="bukatabulky"/>
            </w:pPr>
            <w:r>
              <w:t xml:space="preserve">Pokud není podle názoru zadavatele stanovení poměrné váhy z prokazatelných důvodů možné, uvede zadavatel v dokumentech týkajících se zakázky (oznámení o zakázce, </w:t>
            </w:r>
            <w:r>
              <w:lastRenderedPageBreak/>
              <w:t>zadávací dokumentaci, popisných dokumentech nebo dodatečných dokumentech) kritéria v sestupném pořadí podle důležitosti.</w:t>
            </w: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32014L0025</w:t>
            </w:r>
          </w:p>
        </w:tc>
        <w:tc>
          <w:tcPr>
            <w:tcW w:w="299" w:type="pct"/>
            <w:shd w:val="clear" w:color="auto" w:fill="auto"/>
            <w:tcMar>
              <w:top w:w="57" w:type="dxa"/>
              <w:bottom w:w="57" w:type="dxa"/>
            </w:tcMar>
          </w:tcPr>
          <w:p w:rsidR="00527412" w:rsidRDefault="00527412" w:rsidP="00914925">
            <w:pPr>
              <w:pStyle w:val="bukatabulky"/>
            </w:pPr>
            <w:r>
              <w:t>Článek 83</w:t>
            </w:r>
          </w:p>
        </w:tc>
        <w:tc>
          <w:tcPr>
            <w:tcW w:w="3062" w:type="pct"/>
            <w:shd w:val="clear" w:color="auto" w:fill="auto"/>
            <w:tcMar>
              <w:top w:w="57" w:type="dxa"/>
              <w:bottom w:w="57" w:type="dxa"/>
            </w:tcMar>
          </w:tcPr>
          <w:p w:rsidR="00527412" w:rsidRDefault="00527412" w:rsidP="00914925">
            <w:pPr>
              <w:pStyle w:val="bukatabulky"/>
            </w:pPr>
            <w:r>
              <w:t>Náklady životního cyklu</w:t>
            </w:r>
          </w:p>
          <w:p w:rsidR="00527412" w:rsidRDefault="00527412" w:rsidP="00914925">
            <w:pPr>
              <w:pStyle w:val="bukatabulky"/>
            </w:pPr>
            <w:r>
              <w:t>1.   Náklady životního cyklu zahrnují v příslušném rozsahu všechny následující náklady v průběhu životního cyklu výrobku, služby nebo stavebních prací nebo části těchto nákladů:</w:t>
            </w:r>
          </w:p>
          <w:p w:rsidR="00527412" w:rsidRDefault="00527412" w:rsidP="00914925">
            <w:pPr>
              <w:pStyle w:val="bukatabulky"/>
            </w:pPr>
            <w:r>
              <w:tab/>
              <w:t>a) náklady nesené zadavatelem nebo jinými uživateli, jako např.:</w:t>
            </w:r>
          </w:p>
          <w:p w:rsidR="00527412" w:rsidRDefault="00527412" w:rsidP="00914925">
            <w:pPr>
              <w:pStyle w:val="bukatabulky"/>
            </w:pPr>
            <w:r>
              <w:tab/>
            </w:r>
            <w:r>
              <w:tab/>
              <w:t>i) náklady související s pořízením,</w:t>
            </w:r>
          </w:p>
          <w:p w:rsidR="00527412" w:rsidRDefault="00527412" w:rsidP="00914925">
            <w:pPr>
              <w:pStyle w:val="bukatabulky"/>
            </w:pPr>
            <w:r>
              <w:t xml:space="preserve"> </w:t>
            </w:r>
            <w:r>
              <w:tab/>
            </w:r>
            <w:r>
              <w:tab/>
              <w:t>ii) náklady související s využíváním, jako je spotřeba energie a jiných zdrojů,</w:t>
            </w:r>
          </w:p>
          <w:p w:rsidR="00527412" w:rsidRDefault="00527412" w:rsidP="00914925">
            <w:pPr>
              <w:pStyle w:val="bukatabulky"/>
            </w:pPr>
            <w:r>
              <w:t xml:space="preserve"> </w:t>
            </w:r>
            <w:r>
              <w:tab/>
            </w:r>
            <w:r>
              <w:tab/>
              <w:t>iii) náklady na údržbu,</w:t>
            </w:r>
          </w:p>
          <w:p w:rsidR="00527412" w:rsidRDefault="00527412" w:rsidP="00914925">
            <w:pPr>
              <w:pStyle w:val="bukatabulky"/>
            </w:pPr>
            <w:r>
              <w:t xml:space="preserve"> </w:t>
            </w:r>
            <w:r>
              <w:tab/>
            </w:r>
            <w:r>
              <w:tab/>
              <w:t>iv) náklady spojené s koncem životnosti, jako jsou náklady na sběr a recyklaci;</w:t>
            </w:r>
          </w:p>
          <w:p w:rsidR="00527412" w:rsidRDefault="00527412" w:rsidP="00914925">
            <w:pPr>
              <w:pStyle w:val="bukatabulky"/>
            </w:pPr>
            <w:r>
              <w:t xml:space="preserve"> </w:t>
            </w:r>
            <w:r>
              <w:tab/>
              <w:t xml:space="preserve">b) náklady způsobené environmentálními externalitami, které jsou spojeny s výrobkem, službou nebo stavebními pracemi v průběhu jejich životního cyklu, pokud lze vyčíslit a </w:t>
            </w:r>
            <w:r>
              <w:tab/>
              <w:t>ověřit jejich peněžní hodnotu; tyto náklady mohou zahrnovat náklady na emise skleníkových plynů a emise jiných znečišťujících látek a jiné náklady na zmírnění změny klimatu.</w:t>
            </w:r>
          </w:p>
          <w:p w:rsidR="00527412" w:rsidRDefault="00527412" w:rsidP="00914925">
            <w:pPr>
              <w:pStyle w:val="bukatabulky"/>
            </w:pPr>
            <w:r>
              <w:t>2.   Pokud zadavatelé posuzují náklady podle přístupu vycházejícího z nákladů životního cyklu, uvedou v zadávací dokumentaci údaje, které mají uchazeči poskytnout, a metodu, kterou zadavatel použije ke stanovení nákladů životního cyklu na základě těchto údajů.</w:t>
            </w:r>
          </w:p>
          <w:p w:rsidR="00527412" w:rsidRDefault="00527412" w:rsidP="00914925">
            <w:pPr>
              <w:pStyle w:val="bukatabulky"/>
            </w:pPr>
            <w:r>
              <w:t>Metoda použitá pro posouzení nákladů způsobených environmentálními externalitami musí splňovat všechny tyto podmínky:</w:t>
            </w:r>
          </w:p>
          <w:p w:rsidR="00527412" w:rsidRDefault="00527412" w:rsidP="00914925">
            <w:pPr>
              <w:pStyle w:val="bukatabulky"/>
            </w:pPr>
            <w:r>
              <w:tab/>
              <w:t xml:space="preserve">a) je založena na objektivně ověřitelných a nediskriminačních kritériích. Zejména v případě, že není určena pro opakované nebo trvalé užívání, nesmí neoprávněně zvýhodňovat </w:t>
            </w:r>
            <w:r>
              <w:tab/>
              <w:t>nebo znevýhodňovat určité hospodářské subjekty;</w:t>
            </w:r>
          </w:p>
          <w:p w:rsidR="00527412" w:rsidRDefault="00527412" w:rsidP="00914925">
            <w:pPr>
              <w:pStyle w:val="bukatabulky"/>
            </w:pPr>
            <w:r>
              <w:t xml:space="preserve"> </w:t>
            </w:r>
            <w:r>
              <w:tab/>
              <w:t>b) je přístupná všem stranám, které mají zájem;</w:t>
            </w:r>
          </w:p>
          <w:p w:rsidR="00527412" w:rsidRDefault="00527412" w:rsidP="00914925">
            <w:pPr>
              <w:pStyle w:val="bukatabulky"/>
            </w:pPr>
            <w:r>
              <w:lastRenderedPageBreak/>
              <w:t xml:space="preserve"> </w:t>
            </w:r>
            <w:r>
              <w:tab/>
              <w:t xml:space="preserve">c) požadované údaje mohou být poskytnuty s vynaložením přiměřeného úsilí průměrně pečlivými hospodářskými subjekty, včetně hospodářských subjektů ze třetích zemí, které </w:t>
            </w:r>
            <w:r>
              <w:tab/>
              <w:t>jsou stranami dohody o vládních zakázkách nebo jiných mezinárodních dohod, kterými je Unie vázána.</w:t>
            </w:r>
          </w:p>
          <w:p w:rsidR="00527412" w:rsidRDefault="00527412" w:rsidP="00914925">
            <w:pPr>
              <w:pStyle w:val="bukatabulky"/>
            </w:pPr>
            <w:r>
              <w:t>3.   Pokud bylo legislativním aktem Unie stanoveno povinné užívání společné metody výpočtu nákladů životního cyklu, použije se tato metoda pro posuzování nákladů životního cyklu.</w:t>
            </w:r>
          </w:p>
          <w:p w:rsidR="00527412" w:rsidRDefault="00527412" w:rsidP="00914925">
            <w:pPr>
              <w:pStyle w:val="bukatabulky"/>
            </w:pPr>
            <w:r>
              <w:t>Seznam takových legislativních aktů a v případě potřeby též aktů v přenesené pravomoci, které je doplňují, je uveden v příloze XV.</w:t>
            </w:r>
          </w:p>
          <w:p w:rsidR="00527412" w:rsidRDefault="00527412" w:rsidP="00914925">
            <w:pPr>
              <w:pStyle w:val="bukatabulky"/>
            </w:pPr>
            <w:r>
              <w:t>Komisi je svěřena pravomoc přijímat akty v přenesené pravomoci v souladu s článkem 103 za účelem aktualizace uvedeného seznamu, pokud je aktualizace seznamu nezbytná s ohledem na přijetí nových právních předpisů, které stanoví povinné použití společné metody, nebo s ohledem na zrušení nebo změnu stávajících právních aktů.</w:t>
            </w: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32014L0024</w:t>
            </w:r>
          </w:p>
        </w:tc>
        <w:tc>
          <w:tcPr>
            <w:tcW w:w="299" w:type="pct"/>
            <w:shd w:val="clear" w:color="auto" w:fill="auto"/>
            <w:tcMar>
              <w:top w:w="57" w:type="dxa"/>
              <w:bottom w:w="57" w:type="dxa"/>
            </w:tcMar>
          </w:tcPr>
          <w:p w:rsidR="00527412" w:rsidRDefault="00527412" w:rsidP="00914925">
            <w:pPr>
              <w:pStyle w:val="bukatabulky"/>
            </w:pPr>
            <w:r>
              <w:t>Článek 68</w:t>
            </w:r>
          </w:p>
        </w:tc>
        <w:tc>
          <w:tcPr>
            <w:tcW w:w="3062" w:type="pct"/>
            <w:shd w:val="clear" w:color="auto" w:fill="auto"/>
            <w:tcMar>
              <w:top w:w="57" w:type="dxa"/>
              <w:bottom w:w="57" w:type="dxa"/>
            </w:tcMar>
          </w:tcPr>
          <w:p w:rsidR="00527412" w:rsidRDefault="00527412" w:rsidP="00914925">
            <w:pPr>
              <w:pStyle w:val="bukatabulky"/>
            </w:pPr>
            <w:r>
              <w:t>Náklady životního cyklu</w:t>
            </w:r>
          </w:p>
          <w:p w:rsidR="00527412" w:rsidRDefault="00527412" w:rsidP="00914925">
            <w:pPr>
              <w:pStyle w:val="bukatabulky"/>
            </w:pPr>
            <w:r>
              <w:t>1.   Náklady životního cyklu zahrnují v příslušném rozsahu všechny následující náklady v průběhu životního cyklu výrobku, služby nebo stavebních prací nebo části těchto nákladů:</w:t>
            </w:r>
          </w:p>
          <w:p w:rsidR="00527412" w:rsidRDefault="00527412" w:rsidP="00914925">
            <w:pPr>
              <w:pStyle w:val="bukatabulky"/>
            </w:pPr>
            <w:r>
              <w:t>a) náklady nesené veřejným zadavatelem nebo jinými uživateli, jako např.:</w:t>
            </w:r>
          </w:p>
          <w:p w:rsidR="00527412" w:rsidRDefault="00527412" w:rsidP="00914925">
            <w:pPr>
              <w:pStyle w:val="bukatabulky"/>
            </w:pPr>
            <w:r>
              <w:t>i) náklady související s pořízením,</w:t>
            </w:r>
          </w:p>
          <w:p w:rsidR="00527412" w:rsidRDefault="00527412" w:rsidP="00914925">
            <w:pPr>
              <w:pStyle w:val="bukatabulky"/>
            </w:pPr>
            <w:r>
              <w:t>ii) náklady související s využíváním, jako je spotřeba energie a jiných zdrojů,</w:t>
            </w:r>
          </w:p>
          <w:p w:rsidR="00527412" w:rsidRDefault="00527412" w:rsidP="00914925">
            <w:pPr>
              <w:pStyle w:val="bukatabulky"/>
            </w:pPr>
            <w:r>
              <w:t>iii) náklady na údržbu,</w:t>
            </w:r>
          </w:p>
          <w:p w:rsidR="00527412" w:rsidRDefault="00527412" w:rsidP="00914925">
            <w:pPr>
              <w:pStyle w:val="bukatabulky"/>
            </w:pPr>
            <w:r>
              <w:t>iv) náklady spojené s koncem životnosti, jako jsou náklady na sběr a recyklaci;</w:t>
            </w:r>
          </w:p>
          <w:p w:rsidR="00527412" w:rsidRDefault="00527412" w:rsidP="00914925">
            <w:pPr>
              <w:pStyle w:val="bukatabulky"/>
            </w:pPr>
            <w:r>
              <w:t>b) náklady způsobené environmentálními externalitami, které jsou spojeny s výrobkem, službou nebo stavebními pracemi v průběhu jejich životního cyklu, pokud lze vyčíslit a ověřit jejich peněžní hodnotu; tyto náklady mohou zahrnovat náklady na emise skleníkových plynů a emise jiných znečišťujících látek a jiné náklady na zmírnění změny klimatu.</w:t>
            </w:r>
          </w:p>
          <w:p w:rsidR="00527412" w:rsidRDefault="00527412" w:rsidP="00914925">
            <w:pPr>
              <w:pStyle w:val="bukatabulky"/>
            </w:pPr>
            <w:r>
              <w:lastRenderedPageBreak/>
              <w:t>2.   Pokud veřejní zadavatelé posuzují náklady podle přístupu vycházejícího z nákladů životního cyklu, uvedou v zadávací dokumentaci údaje, které mají uchazeči poskytnout, a metodu, kterou veřejný zadavatel použije ke stanovení nákladů životního cyklu na základě těchto údajů.</w:t>
            </w:r>
          </w:p>
          <w:p w:rsidR="00527412" w:rsidRDefault="00527412" w:rsidP="00914925">
            <w:pPr>
              <w:pStyle w:val="bukatabulky"/>
            </w:pPr>
            <w:r>
              <w:t>Metoda použitá pro posouzení nákladů způsobených environmentálními externalitami musí splňovat všechny tyto podmínky:</w:t>
            </w:r>
          </w:p>
          <w:p w:rsidR="00527412" w:rsidRDefault="00527412" w:rsidP="00914925">
            <w:pPr>
              <w:pStyle w:val="bukatabulky"/>
            </w:pPr>
            <w:r>
              <w:t>a) je založena na objektivně ověřitelných a nediskriminačních kritériích. Zejména v případě, že není určena pro opakované nebo trvalé užívání, nesmí neoprávněně zvýhodňovat nebo znevýhodňovat určité hospodářské subjekty;</w:t>
            </w:r>
          </w:p>
          <w:p w:rsidR="00527412" w:rsidRDefault="00527412" w:rsidP="00914925">
            <w:pPr>
              <w:pStyle w:val="bukatabulky"/>
            </w:pPr>
            <w:r>
              <w:t>b) je přístupná všem stranám, které mají zájem;</w:t>
            </w:r>
          </w:p>
          <w:p w:rsidR="00527412" w:rsidRDefault="00527412" w:rsidP="00914925">
            <w:pPr>
              <w:pStyle w:val="bukatabulky"/>
            </w:pPr>
            <w:r>
              <w:t>c) požadované údaje mohou být poskytnuty s vynaložením přiměřeného úsilí průměrně pečlivými hospodářskými subjekty, včetně hospodářských subjektů ze třetích zemí, které jsou stranami dohody o vládních zakázkách nebo jiných mezinárodních dohod, kterými je Unie vázána.</w:t>
            </w:r>
          </w:p>
          <w:p w:rsidR="00527412" w:rsidRDefault="00527412" w:rsidP="00914925">
            <w:pPr>
              <w:pStyle w:val="bukatabulky"/>
            </w:pPr>
            <w:r>
              <w:t>3.   Pokud bylo legislativním aktem Unie stanoveno povinné užívání společné metody výpočtu nákladů životního cyklu, použije se tato metoda pro posuzování nákladů životního cyklu.</w:t>
            </w:r>
          </w:p>
          <w:p w:rsidR="00527412" w:rsidRDefault="00527412" w:rsidP="00914925">
            <w:pPr>
              <w:pStyle w:val="bukatabulky"/>
            </w:pPr>
            <w:r>
              <w:t>Seznam takových legislativních aktů a v případě potřeby též aktů v přenesené pravomoci, které je doplňují, je uveden v příloze XIII. Komisi je svěřena pravomoc přijímat akty v přenesené pravomoci v souladu s článkem 87 za účelem aktualizace uvedeného seznamu, pokud je aktualizace seznamu nezbytná s ohledem na přijetí nových právních předpisů, které stanoví povinné použití společné metody, nebo s ohledem na zrušení nebo změnu stávajících právních aktů.</w:t>
            </w:r>
          </w:p>
        </w:tc>
      </w:tr>
    </w:tbl>
    <w:p w:rsidR="00527412" w:rsidRDefault="00527412"/>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527412" w:rsidTr="00914925">
        <w:tc>
          <w:tcPr>
            <w:tcW w:w="372" w:type="pct"/>
            <w:vMerge w:val="restart"/>
            <w:shd w:val="clear" w:color="auto" w:fill="auto"/>
            <w:tcMar>
              <w:top w:w="57" w:type="dxa"/>
              <w:bottom w:w="57" w:type="dxa"/>
            </w:tcMar>
          </w:tcPr>
          <w:p w:rsidR="00527412" w:rsidRPr="00F24CC7" w:rsidRDefault="00527412" w:rsidP="00914925">
            <w:pPr>
              <w:pStyle w:val="bukatabulky"/>
              <w:rPr>
                <w:b/>
              </w:rPr>
            </w:pPr>
            <w:r w:rsidRPr="00F24CC7">
              <w:rPr>
                <w:b/>
              </w:rPr>
              <w:t>§ 104</w:t>
            </w:r>
          </w:p>
        </w:tc>
        <w:tc>
          <w:tcPr>
            <w:tcW w:w="933" w:type="pct"/>
            <w:vMerge w:val="restart"/>
            <w:shd w:val="clear" w:color="auto" w:fill="auto"/>
            <w:tcMar>
              <w:top w:w="57" w:type="dxa"/>
              <w:bottom w:w="57" w:type="dxa"/>
            </w:tcMar>
          </w:tcPr>
          <w:p w:rsidR="00527412" w:rsidRDefault="00527412" w:rsidP="00527412">
            <w:pPr>
              <w:pStyle w:val="odstavec"/>
            </w:pPr>
            <w:r>
              <w:t xml:space="preserve">Zadavatel může v zadávací dokumentaci </w:t>
            </w:r>
            <w:r>
              <w:lastRenderedPageBreak/>
              <w:t>požadovat od vybraného dodavatele jako další podmínky pro uzavření smlouvy</w:t>
            </w:r>
          </w:p>
          <w:p w:rsidR="00527412" w:rsidRDefault="00527412" w:rsidP="00527412">
            <w:pPr>
              <w:pStyle w:val="odstavec"/>
            </w:pPr>
            <w:r>
              <w:t xml:space="preserve"> </w:t>
            </w:r>
          </w:p>
          <w:p w:rsidR="00527412" w:rsidRDefault="00527412" w:rsidP="00527412">
            <w:pPr>
              <w:pStyle w:val="odstavec"/>
            </w:pPr>
            <w:r>
              <w:t>a) předložení dokladů nebo vzorků vztahujících se k předmětu plnění veřejné zakázky nebo kvalifikaci dodavatele,</w:t>
            </w:r>
          </w:p>
          <w:p w:rsidR="00527412" w:rsidRDefault="00527412" w:rsidP="00527412">
            <w:pPr>
              <w:pStyle w:val="odstavec"/>
            </w:pPr>
            <w:r>
              <w:t xml:space="preserve"> </w:t>
            </w:r>
          </w:p>
          <w:p w:rsidR="00527412" w:rsidRDefault="00527412" w:rsidP="00527412">
            <w:pPr>
              <w:pStyle w:val="odstavec"/>
            </w:pPr>
            <w:r>
              <w:t>b) úspěšný výsledek zkoušek vzorků,</w:t>
            </w:r>
          </w:p>
          <w:p w:rsidR="00527412" w:rsidRDefault="00527412" w:rsidP="00527412">
            <w:pPr>
              <w:pStyle w:val="odstavec"/>
            </w:pPr>
            <w:r>
              <w:t xml:space="preserve"> </w:t>
            </w:r>
          </w:p>
          <w:p w:rsidR="00527412" w:rsidRDefault="00527412" w:rsidP="00527412">
            <w:pPr>
              <w:pStyle w:val="odstavec"/>
            </w:pPr>
            <w:r>
              <w:t>c) předložení dokladu prokazujícího schopnost dodavatele zabezpečit ochranu utajovaných informací5), je-li to k plnění veřejné zakázky nezbytné,</w:t>
            </w:r>
          </w:p>
          <w:p w:rsidR="00527412" w:rsidRDefault="00527412" w:rsidP="00527412">
            <w:pPr>
              <w:pStyle w:val="odstavec"/>
            </w:pPr>
            <w:r>
              <w:t xml:space="preserve"> </w:t>
            </w:r>
          </w:p>
          <w:p w:rsidR="00527412" w:rsidRDefault="00527412" w:rsidP="00527412">
            <w:pPr>
              <w:pStyle w:val="odstavec"/>
            </w:pPr>
            <w:r>
              <w:t>d) přijetí určité formy spolupráce podle § 37 odst. 4,</w:t>
            </w:r>
          </w:p>
          <w:p w:rsidR="00527412" w:rsidRDefault="00527412" w:rsidP="00527412">
            <w:pPr>
              <w:pStyle w:val="odstavec"/>
            </w:pPr>
            <w:r>
              <w:t xml:space="preserve"> </w:t>
            </w:r>
          </w:p>
          <w:p w:rsidR="00527412" w:rsidRDefault="00527412" w:rsidP="00527412">
            <w:pPr>
              <w:pStyle w:val="odstavec"/>
            </w:pPr>
            <w:r>
              <w:lastRenderedPageBreak/>
              <w:t>e) bližší podmínky součinnosti před uzavřením smlouvy, nebo</w:t>
            </w:r>
          </w:p>
          <w:p w:rsidR="00527412" w:rsidRDefault="00527412" w:rsidP="00527412">
            <w:pPr>
              <w:pStyle w:val="odstavec"/>
            </w:pPr>
            <w:r>
              <w:t xml:space="preserve"> </w:t>
            </w:r>
          </w:p>
          <w:p w:rsidR="00527412" w:rsidRDefault="00527412" w:rsidP="00527412">
            <w:pPr>
              <w:pStyle w:val="psmeno"/>
            </w:pPr>
            <w:r>
              <w:t xml:space="preserve">f) předložení dokladu o splnění </w:t>
            </w:r>
            <w:r w:rsidRPr="00527412">
              <w:rPr>
                <w:strike/>
              </w:rPr>
              <w:t>povinností podle § 21a zákona o účetnictví</w:t>
            </w:r>
            <w:r w:rsidRPr="00527412">
              <w:rPr>
                <w:b/>
              </w:rPr>
              <w:t>povinnosti zveřejnit ve veřejném rejstříku účetní závěrku, zprávy podle zákona upravujícího účetnictví, jsou-li vyhotovovány, a zprávy o jejich ověření, jsou-li ověřovány.</w:t>
            </w:r>
          </w:p>
        </w:tc>
        <w:tc>
          <w:tcPr>
            <w:tcW w:w="334" w:type="pct"/>
            <w:shd w:val="clear" w:color="auto" w:fill="auto"/>
            <w:tcMar>
              <w:top w:w="57" w:type="dxa"/>
              <w:bottom w:w="57" w:type="dxa"/>
            </w:tcMar>
          </w:tcPr>
          <w:p w:rsidR="00527412" w:rsidRDefault="00527412" w:rsidP="00914925">
            <w:pPr>
              <w:pStyle w:val="bukatabulky"/>
            </w:pPr>
            <w:r>
              <w:lastRenderedPageBreak/>
              <w:t>32014L0025</w:t>
            </w:r>
          </w:p>
        </w:tc>
        <w:tc>
          <w:tcPr>
            <w:tcW w:w="299" w:type="pct"/>
            <w:shd w:val="clear" w:color="auto" w:fill="auto"/>
            <w:tcMar>
              <w:top w:w="57" w:type="dxa"/>
              <w:bottom w:w="57" w:type="dxa"/>
            </w:tcMar>
          </w:tcPr>
          <w:p w:rsidR="00527412" w:rsidRDefault="00527412" w:rsidP="00914925">
            <w:pPr>
              <w:pStyle w:val="bukatabulky"/>
            </w:pPr>
            <w:r>
              <w:t>Článek 87</w:t>
            </w:r>
          </w:p>
        </w:tc>
        <w:tc>
          <w:tcPr>
            <w:tcW w:w="3062" w:type="pct"/>
            <w:shd w:val="clear" w:color="auto" w:fill="auto"/>
            <w:tcMar>
              <w:top w:w="57" w:type="dxa"/>
              <w:bottom w:w="57" w:type="dxa"/>
            </w:tcMar>
          </w:tcPr>
          <w:p w:rsidR="00527412" w:rsidRDefault="00527412" w:rsidP="00914925">
            <w:pPr>
              <w:pStyle w:val="bukatabulky"/>
            </w:pPr>
          </w:p>
        </w:tc>
      </w:tr>
      <w:tr w:rsidR="00527412" w:rsidTr="00914925">
        <w:tc>
          <w:tcPr>
            <w:tcW w:w="372" w:type="pct"/>
            <w:vMerge/>
            <w:shd w:val="clear" w:color="auto" w:fill="auto"/>
            <w:tcMar>
              <w:top w:w="57" w:type="dxa"/>
              <w:bottom w:w="57" w:type="dxa"/>
            </w:tcMar>
          </w:tcPr>
          <w:p w:rsidR="00527412" w:rsidRDefault="00527412" w:rsidP="00914925">
            <w:pPr>
              <w:pStyle w:val="bukatabulky"/>
            </w:pPr>
          </w:p>
        </w:tc>
        <w:tc>
          <w:tcPr>
            <w:tcW w:w="933" w:type="pct"/>
            <w:vMerge/>
            <w:shd w:val="clear" w:color="auto" w:fill="auto"/>
            <w:tcMar>
              <w:top w:w="57" w:type="dxa"/>
              <w:bottom w:w="57" w:type="dxa"/>
            </w:tcMar>
          </w:tcPr>
          <w:p w:rsidR="00527412" w:rsidRDefault="00527412" w:rsidP="00914925">
            <w:pPr>
              <w:pStyle w:val="odstavec"/>
            </w:pPr>
          </w:p>
        </w:tc>
        <w:tc>
          <w:tcPr>
            <w:tcW w:w="334" w:type="pct"/>
            <w:shd w:val="clear" w:color="auto" w:fill="auto"/>
            <w:tcMar>
              <w:top w:w="57" w:type="dxa"/>
              <w:bottom w:w="57" w:type="dxa"/>
            </w:tcMar>
          </w:tcPr>
          <w:p w:rsidR="00527412" w:rsidRDefault="00527412" w:rsidP="00914925">
            <w:pPr>
              <w:pStyle w:val="bukatabulky"/>
            </w:pPr>
            <w:r>
              <w:t>32014L0024</w:t>
            </w:r>
          </w:p>
        </w:tc>
        <w:tc>
          <w:tcPr>
            <w:tcW w:w="299" w:type="pct"/>
            <w:shd w:val="clear" w:color="auto" w:fill="auto"/>
            <w:tcMar>
              <w:top w:w="57" w:type="dxa"/>
              <w:bottom w:w="57" w:type="dxa"/>
            </w:tcMar>
          </w:tcPr>
          <w:p w:rsidR="00527412" w:rsidRDefault="00527412" w:rsidP="00914925">
            <w:pPr>
              <w:pStyle w:val="bukatabulky"/>
            </w:pPr>
            <w:r>
              <w:t>Článek 70</w:t>
            </w:r>
          </w:p>
        </w:tc>
        <w:tc>
          <w:tcPr>
            <w:tcW w:w="3062" w:type="pct"/>
            <w:shd w:val="clear" w:color="auto" w:fill="auto"/>
            <w:tcMar>
              <w:top w:w="57" w:type="dxa"/>
              <w:bottom w:w="57" w:type="dxa"/>
            </w:tcMar>
          </w:tcPr>
          <w:p w:rsidR="00527412" w:rsidRDefault="00527412" w:rsidP="00914925">
            <w:pPr>
              <w:pStyle w:val="bukatabulky"/>
            </w:pPr>
            <w:r>
              <w:t>Podmínky plnění veřejné zakázky</w:t>
            </w:r>
          </w:p>
          <w:p w:rsidR="00527412" w:rsidRDefault="00527412" w:rsidP="00914925">
            <w:pPr>
              <w:pStyle w:val="bukatabulky"/>
            </w:pPr>
            <w:r>
              <w:t>Veřejní zadavatelé mohou stanovit zvláštní podmínky pro plnění veřejné zakázky za předpokladu, že souvisí s předmětem veřejné zakázky ve smyslu čl. 67 odst. 3 a že jsou uvedeny ve výzvě k účasti v soutěži nebo v zadávací dokumentaci. Tyto podmínky mohou zahrnovat hospodářské, inovační, environmentální, sociální nebo se zaměstnáním související aspekty.</w:t>
            </w:r>
          </w:p>
        </w:tc>
      </w:tr>
    </w:tbl>
    <w:p w:rsidR="00527412" w:rsidRDefault="00527412"/>
    <w:tbl>
      <w:tblPr>
        <w:tblW w:w="5384"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2703"/>
        <w:gridCol w:w="1443"/>
        <w:gridCol w:w="896"/>
        <w:gridCol w:w="9015"/>
      </w:tblGrid>
      <w:tr w:rsidR="0025745D" w:rsidTr="00914925">
        <w:tc>
          <w:tcPr>
            <w:tcW w:w="372" w:type="pct"/>
            <w:shd w:val="clear" w:color="auto" w:fill="auto"/>
            <w:tcMar>
              <w:top w:w="57" w:type="dxa"/>
              <w:bottom w:w="57" w:type="dxa"/>
            </w:tcMar>
          </w:tcPr>
          <w:p w:rsidR="0025745D" w:rsidRPr="00F24CC7" w:rsidRDefault="0025745D" w:rsidP="00914925">
            <w:pPr>
              <w:pStyle w:val="bukatabulky"/>
              <w:rPr>
                <w:b/>
              </w:rPr>
            </w:pPr>
            <w:r w:rsidRPr="00F24CC7">
              <w:rPr>
                <w:b/>
              </w:rPr>
              <w:t>§ 155 odst. 1</w:t>
            </w:r>
          </w:p>
        </w:tc>
        <w:tc>
          <w:tcPr>
            <w:tcW w:w="933" w:type="pct"/>
            <w:shd w:val="clear" w:color="auto" w:fill="auto"/>
            <w:tcMar>
              <w:top w:w="57" w:type="dxa"/>
              <w:bottom w:w="57" w:type="dxa"/>
            </w:tcMar>
          </w:tcPr>
          <w:p w:rsidR="0025745D" w:rsidRDefault="0025745D" w:rsidP="0025745D">
            <w:pPr>
              <w:pStyle w:val="odstavec"/>
            </w:pPr>
            <w:r>
              <w:t xml:space="preserve">(1) Přidruženou osobou se rozumí osoba, která </w:t>
            </w:r>
            <w:r w:rsidRPr="0025745D">
              <w:rPr>
                <w:strike/>
              </w:rPr>
              <w:t>má povinnost podrobit se sestavení konsolidované účetní závěrky40) zadavatelem</w:t>
            </w:r>
            <w:r>
              <w:t xml:space="preserve"> </w:t>
            </w:r>
            <w:r w:rsidRPr="00AF1ED5">
              <w:rPr>
                <w:b/>
              </w:rPr>
              <w:t xml:space="preserve">je zadavatelovou dceřinou entitou podle zákona upravujícího účetnictví zahrnutou do konsolidačního celku </w:t>
            </w:r>
            <w:r w:rsidRPr="00AF1ED5">
              <w:rPr>
                <w:b/>
              </w:rPr>
              <w:lastRenderedPageBreak/>
              <w:t>podle zákona upravujícího účetnictví</w:t>
            </w:r>
            <w:r>
              <w:t xml:space="preserve"> nebo jiná osoba, která přímo nebo nepřímo </w:t>
            </w:r>
          </w:p>
          <w:p w:rsidR="0025745D" w:rsidRDefault="0025745D" w:rsidP="0025745D">
            <w:pPr>
              <w:pStyle w:val="odstavec"/>
            </w:pPr>
            <w:r>
              <w:t>a) může podléhat dominantnímu vlivu zadavatele,</w:t>
            </w:r>
          </w:p>
          <w:p w:rsidR="0025745D" w:rsidRDefault="0025745D" w:rsidP="0025745D">
            <w:pPr>
              <w:pStyle w:val="odstavec"/>
            </w:pPr>
            <w:r>
              <w:t xml:space="preserve"> </w:t>
            </w:r>
          </w:p>
          <w:p w:rsidR="0025745D" w:rsidRDefault="0025745D" w:rsidP="0025745D">
            <w:pPr>
              <w:pStyle w:val="odstavec"/>
            </w:pPr>
            <w:r>
              <w:t>b) může vykonávat dominantní vliv nad zadavatelem, nebo</w:t>
            </w:r>
          </w:p>
          <w:p w:rsidR="0025745D" w:rsidRDefault="0025745D" w:rsidP="0025745D">
            <w:pPr>
              <w:pStyle w:val="odstavec"/>
            </w:pPr>
            <w:r>
              <w:t xml:space="preserve"> </w:t>
            </w:r>
          </w:p>
          <w:p w:rsidR="0025745D" w:rsidRDefault="0025745D" w:rsidP="0025745D">
            <w:pPr>
              <w:pStyle w:val="psmeno"/>
            </w:pPr>
            <w:r>
              <w:t>c) podléhá dominantnímu vlivu stejné osoby jako zadavatel.</w:t>
            </w:r>
          </w:p>
          <w:p w:rsidR="00AF1ED5" w:rsidRDefault="00AF1ED5" w:rsidP="0025745D">
            <w:pPr>
              <w:pStyle w:val="psmeno"/>
            </w:pPr>
          </w:p>
          <w:p w:rsidR="00AF1ED5" w:rsidRPr="00AF1ED5" w:rsidRDefault="00AF1ED5" w:rsidP="0025745D">
            <w:pPr>
              <w:pStyle w:val="psmeno"/>
              <w:rPr>
                <w:strike/>
              </w:rPr>
            </w:pPr>
            <w:r w:rsidRPr="00AF1ED5">
              <w:rPr>
                <w:strike/>
              </w:rPr>
              <w:t>40) § 22 zákona č. 563/1991 Sb., o účetnictví, ve znění pozdějších předpisů.</w:t>
            </w:r>
          </w:p>
        </w:tc>
        <w:tc>
          <w:tcPr>
            <w:tcW w:w="334" w:type="pct"/>
            <w:shd w:val="clear" w:color="auto" w:fill="auto"/>
            <w:tcMar>
              <w:top w:w="57" w:type="dxa"/>
              <w:bottom w:w="57" w:type="dxa"/>
            </w:tcMar>
          </w:tcPr>
          <w:p w:rsidR="0025745D" w:rsidRDefault="0025745D" w:rsidP="00914925">
            <w:pPr>
              <w:pStyle w:val="bukatabulky"/>
            </w:pPr>
            <w:r>
              <w:lastRenderedPageBreak/>
              <w:t>32014L0025</w:t>
            </w:r>
          </w:p>
        </w:tc>
        <w:tc>
          <w:tcPr>
            <w:tcW w:w="299" w:type="pct"/>
            <w:shd w:val="clear" w:color="auto" w:fill="auto"/>
            <w:tcMar>
              <w:top w:w="57" w:type="dxa"/>
              <w:bottom w:w="57" w:type="dxa"/>
            </w:tcMar>
          </w:tcPr>
          <w:p w:rsidR="0025745D" w:rsidRDefault="0025745D" w:rsidP="00914925">
            <w:pPr>
              <w:pStyle w:val="bukatabulky"/>
            </w:pPr>
            <w:r>
              <w:t>Článek 29</w:t>
            </w:r>
          </w:p>
        </w:tc>
        <w:tc>
          <w:tcPr>
            <w:tcW w:w="3062" w:type="pct"/>
            <w:shd w:val="clear" w:color="auto" w:fill="auto"/>
            <w:tcMar>
              <w:top w:w="57" w:type="dxa"/>
              <w:bottom w:w="57" w:type="dxa"/>
            </w:tcMar>
          </w:tcPr>
          <w:p w:rsidR="0025745D" w:rsidRDefault="0025745D" w:rsidP="00914925">
            <w:pPr>
              <w:pStyle w:val="bukatabulky"/>
            </w:pPr>
            <w:r>
              <w:t>Zakázky zadávané přidruženému podniku</w:t>
            </w:r>
          </w:p>
          <w:p w:rsidR="0025745D" w:rsidRDefault="0025745D" w:rsidP="00914925">
            <w:pPr>
              <w:pStyle w:val="bukatabulky"/>
            </w:pPr>
            <w:r>
              <w:t>1.   Pro účely tohoto článku se „přidruženým podnikem“ rozumí podnik, jehož roční účetní závěrky jsou konsolidovány s ročními účetními závěrkami zadavatele v souladu s požadavky směrnice 2013/34/EU.</w:t>
            </w:r>
          </w:p>
          <w:p w:rsidR="0025745D" w:rsidRDefault="0025745D" w:rsidP="00914925">
            <w:pPr>
              <w:pStyle w:val="bukatabulky"/>
            </w:pPr>
            <w:r>
              <w:t>2.   V případě subjektů, na něž se nevztahuje směrnice 2013/34/EU se „přidruženým podnikem“ rozumí každý podnik, který:</w:t>
            </w:r>
          </w:p>
          <w:p w:rsidR="0025745D" w:rsidRDefault="0025745D" w:rsidP="00914925">
            <w:pPr>
              <w:pStyle w:val="bukatabulky"/>
            </w:pPr>
            <w:r>
              <w:t>a) může přímo nebo nepřímo podléhat dominantnímu vlivu zadavatele;</w:t>
            </w:r>
          </w:p>
          <w:p w:rsidR="0025745D" w:rsidRDefault="0025745D" w:rsidP="00914925">
            <w:pPr>
              <w:pStyle w:val="bukatabulky"/>
            </w:pPr>
            <w:r>
              <w:t>b) může vykonávat dominantní vliv nad zadavatelem nebo</w:t>
            </w:r>
          </w:p>
          <w:p w:rsidR="0025745D" w:rsidRDefault="0025745D" w:rsidP="00914925">
            <w:pPr>
              <w:pStyle w:val="bukatabulky"/>
            </w:pPr>
            <w:r>
              <w:lastRenderedPageBreak/>
              <w:t>c) společně se zadavatelem podléhá dominantnímu vlivu jiného podniku na základě vlastnického práva, finanční účasti nebo pravidel, jimiž se řídí.</w:t>
            </w:r>
          </w:p>
          <w:p w:rsidR="0025745D" w:rsidRDefault="0025745D" w:rsidP="00914925">
            <w:pPr>
              <w:pStyle w:val="bukatabulky"/>
            </w:pPr>
            <w:r>
              <w:t>Pro účely tohoto odstavce se „dominantním vlivem“ rozumí dominantní vliv ve smyslu čl. 4 odst. 2. druhého pododstavce</w:t>
            </w:r>
          </w:p>
          <w:p w:rsidR="0025745D" w:rsidRDefault="0025745D" w:rsidP="00914925">
            <w:pPr>
              <w:pStyle w:val="bukatabulky"/>
            </w:pPr>
            <w:r>
              <w:t>3.   Bez ohledu na článek 28, a pokud jsou splněny podmínky stanovené v odstavci 4 tohoto článku, se tato směrnice nevztahuje na zakázky:</w:t>
            </w:r>
          </w:p>
          <w:p w:rsidR="0025745D" w:rsidRDefault="0025745D" w:rsidP="00914925">
            <w:pPr>
              <w:pStyle w:val="bukatabulky"/>
            </w:pPr>
            <w:r>
              <w:t>a) zadané zadavatelem přidruženému podniku, nebo</w:t>
            </w:r>
          </w:p>
          <w:p w:rsidR="0025745D" w:rsidRDefault="0025745D" w:rsidP="00914925">
            <w:pPr>
              <w:pStyle w:val="bukatabulky"/>
            </w:pPr>
            <w:r>
              <w:t>b) zadané společným podnikem vytvořeným výlučně několika zadavateli za účelem vykonávání činností vymezených v článcích 8 až 14 podniku, který je přidružen k jednomu z těchto zadavatelů.</w:t>
            </w:r>
          </w:p>
          <w:p w:rsidR="0025745D" w:rsidRDefault="0025745D" w:rsidP="00914925">
            <w:pPr>
              <w:pStyle w:val="bukatabulky"/>
            </w:pPr>
            <w:r>
              <w:t xml:space="preserve"> </w:t>
            </w:r>
          </w:p>
          <w:p w:rsidR="0025745D" w:rsidRDefault="0025745D" w:rsidP="00914925">
            <w:pPr>
              <w:pStyle w:val="bukatabulky"/>
            </w:pPr>
            <w:r>
              <w:t>4.   Odstavec 3 se vztahuje na:</w:t>
            </w:r>
          </w:p>
          <w:p w:rsidR="0025745D" w:rsidRDefault="0025745D" w:rsidP="00914925">
            <w:pPr>
              <w:pStyle w:val="bukatabulky"/>
            </w:pPr>
            <w:r>
              <w:t>a) zakázky na služby, pokud alespoň 80 % průměrného celkového obratu přidruženého podniku ze všech služeb poskytnutých tímto podnikem, dosaženého za předchozí tři roky, pochází z poskytování služeb zadavateli nebo jiným podnikům, k nimž je přidružen;</w:t>
            </w:r>
          </w:p>
          <w:p w:rsidR="0025745D" w:rsidRDefault="0025745D" w:rsidP="00914925">
            <w:pPr>
              <w:pStyle w:val="bukatabulky"/>
            </w:pPr>
            <w:r>
              <w:t>b) zakázky na dodávky, pokud alespoň 80 % průměrného celkového obratu přidruženého podniku ze všech dodávek poskytnutých tímto podnikem, dosaženého za předchozí tři roky, pochází z poskytování dodávek zadavateli nebo jiným podnikům, k nimž je přidružen;</w:t>
            </w:r>
          </w:p>
          <w:p w:rsidR="0025745D" w:rsidRDefault="0025745D" w:rsidP="00914925">
            <w:pPr>
              <w:pStyle w:val="bukatabulky"/>
            </w:pPr>
            <w:r>
              <w:t>c) zakázky na stavební práce, pokud alespoň 80 % průměrného celkového obratu přidruženého podniku ze všech stavebních prací provedených tímto podnikem, dosaženého za předchozí tři roky, pochází z provádění stavebních prací pro zadavatele nebo jiné podniky, k nimž je přidružen.</w:t>
            </w:r>
          </w:p>
          <w:p w:rsidR="0025745D" w:rsidRDefault="0025745D" w:rsidP="00914925">
            <w:pPr>
              <w:pStyle w:val="bukatabulky"/>
            </w:pPr>
            <w:r>
              <w:t xml:space="preserve"> </w:t>
            </w:r>
          </w:p>
          <w:p w:rsidR="0025745D" w:rsidRDefault="0025745D" w:rsidP="00914925">
            <w:pPr>
              <w:pStyle w:val="bukatabulky"/>
            </w:pPr>
            <w:r>
              <w:t xml:space="preserve">5.   Pokud kvůli datu, ke kterému byl přidružený podnik založen nebo začal vykonávat činnost, není obrat za předchozí tři roky dostupný, postačí, že podnik prokáže, zejména </w:t>
            </w:r>
            <w:r>
              <w:lastRenderedPageBreak/>
              <w:t>prostřednictvím prognóz činnosti, že dosažení obratu uvedeného v odst. 4 písm. a), b) nebo c) je věrohodné.</w:t>
            </w:r>
          </w:p>
          <w:p w:rsidR="0025745D" w:rsidRDefault="0025745D" w:rsidP="00914925">
            <w:pPr>
              <w:pStyle w:val="bukatabulky"/>
            </w:pPr>
            <w:r>
              <w:t>6.   Pokud jsou zadavateli poskytovány stejné nebo podobné služby, dodávky nebo stavební práce více než jedním přidruženým podnikem, s nímž tvoří hospodářskou skupinu, vypočítá se procentní podíl s ohledem na celkový obrat ze služeb, z dodávek nebo ze stavebních prací poskytnutých těmito přidruženými podniky.</w:t>
            </w:r>
          </w:p>
        </w:tc>
      </w:tr>
    </w:tbl>
    <w:p w:rsidR="0025745D" w:rsidRDefault="0025745D"/>
    <w:sectPr w:rsidR="0025745D" w:rsidSect="00D10EAD">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6A7" w:rsidRDefault="000556A7" w:rsidP="00F24CC7">
      <w:r>
        <w:separator/>
      </w:r>
    </w:p>
  </w:endnote>
  <w:endnote w:type="continuationSeparator" w:id="0">
    <w:p w:rsidR="000556A7" w:rsidRDefault="000556A7" w:rsidP="00F2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6A7" w:rsidRDefault="000556A7" w:rsidP="00F24CC7">
      <w:r>
        <w:separator/>
      </w:r>
    </w:p>
  </w:footnote>
  <w:footnote w:type="continuationSeparator" w:id="0">
    <w:p w:rsidR="000556A7" w:rsidRDefault="000556A7" w:rsidP="00F2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CC7" w:rsidRPr="00F24CC7" w:rsidRDefault="00F24CC7" w:rsidP="00F24CC7">
    <w:pPr>
      <w:pStyle w:val="Zhlav"/>
      <w:jc w:val="center"/>
      <w:rPr>
        <w:b/>
      </w:rPr>
    </w:pPr>
    <w:r w:rsidRPr="00F24CC7">
      <w:rPr>
        <w:b/>
      </w:rPr>
      <w:t>Rozdílová tabulka k zákonu o zadávání veřejných zakázek</w:t>
    </w:r>
  </w:p>
  <w:p w:rsidR="00F24CC7" w:rsidRPr="00F24CC7" w:rsidRDefault="00F24CC7" w:rsidP="00F24CC7">
    <w:pPr>
      <w:pStyle w:val="Zhlav"/>
      <w:jc w:val="center"/>
      <w:rPr>
        <w:b/>
      </w:rPr>
    </w:pPr>
    <w:r w:rsidRPr="00F24CC7">
      <w:rPr>
        <w:b/>
      </w:rPr>
      <w:t>Ustanovení dotčená změnami z</w:t>
    </w:r>
    <w:r>
      <w:rPr>
        <w:b/>
      </w:rPr>
      <w:t xml:space="preserve"> návrhu </w:t>
    </w:r>
    <w:r w:rsidRPr="00F24CC7">
      <w:rPr>
        <w:b/>
      </w:rPr>
      <w:t>doprovodného zákona k</w:t>
    </w:r>
    <w:r>
      <w:rPr>
        <w:b/>
      </w:rPr>
      <w:t> návrhu nového</w:t>
    </w:r>
    <w:r w:rsidRPr="00F24CC7">
      <w:rPr>
        <w:b/>
      </w:rPr>
      <w:t xml:space="preserve"> </w:t>
    </w:r>
    <w:r>
      <w:rPr>
        <w:b/>
      </w:rPr>
      <w:t>zákona</w:t>
    </w:r>
    <w:r w:rsidRPr="00F24CC7">
      <w:rPr>
        <w:b/>
      </w:rPr>
      <w:t xml:space="preserve"> o účetnictví</w:t>
    </w:r>
  </w:p>
  <w:p w:rsidR="00F24CC7" w:rsidRDefault="00F24CC7">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EAD"/>
    <w:rsid w:val="000556A7"/>
    <w:rsid w:val="00056077"/>
    <w:rsid w:val="0025745D"/>
    <w:rsid w:val="00527412"/>
    <w:rsid w:val="006670EF"/>
    <w:rsid w:val="00A911BB"/>
    <w:rsid w:val="00AF1ED5"/>
    <w:rsid w:val="00BB5A89"/>
    <w:rsid w:val="00D10EAD"/>
    <w:rsid w:val="00F24CC7"/>
    <w:rsid w:val="00F25C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AB6B"/>
  <w15:chartTrackingRefBased/>
  <w15:docId w15:val="{B27B25DA-A95C-4041-A10B-CE64551D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ální"/>
    <w:qFormat/>
    <w:rsid w:val="00D10EAD"/>
    <w:pPr>
      <w:spacing w:after="0" w:line="240" w:lineRule="auto"/>
    </w:pPr>
    <w:rPr>
      <w:rFonts w:ascii="Times New Roman" w:eastAsia="Times New Roman" w:hAnsi="Times New Roman" w:cs="Times New Roman"/>
      <w:noProo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
    <w:name w:val="odstavec"/>
    <w:basedOn w:val="Normln"/>
    <w:rsid w:val="00D10EAD"/>
    <w:pPr>
      <w:spacing w:before="120"/>
      <w:ind w:firstLine="482"/>
      <w:jc w:val="both"/>
    </w:pPr>
  </w:style>
  <w:style w:type="paragraph" w:customStyle="1" w:styleId="bukatabulky">
    <w:name w:val="buňka tabulky"/>
    <w:basedOn w:val="Normln"/>
    <w:qFormat/>
    <w:rsid w:val="00D10EAD"/>
    <w:pPr>
      <w:spacing w:before="120" w:after="120"/>
      <w:jc w:val="both"/>
    </w:pPr>
  </w:style>
  <w:style w:type="paragraph" w:customStyle="1" w:styleId="psmeno">
    <w:name w:val="písmeno"/>
    <w:basedOn w:val="slovanseznam"/>
    <w:rsid w:val="00BB5A89"/>
    <w:pPr>
      <w:numPr>
        <w:numId w:val="0"/>
      </w:numPr>
      <w:tabs>
        <w:tab w:val="left" w:pos="357"/>
      </w:tabs>
      <w:ind w:left="357" w:hanging="357"/>
      <w:contextualSpacing w:val="0"/>
      <w:jc w:val="both"/>
    </w:pPr>
    <w:rPr>
      <w:lang w:val="en-US"/>
    </w:rPr>
  </w:style>
  <w:style w:type="paragraph" w:styleId="slovanseznam">
    <w:name w:val="List Number"/>
    <w:basedOn w:val="Normln"/>
    <w:uiPriority w:val="99"/>
    <w:semiHidden/>
    <w:unhideWhenUsed/>
    <w:rsid w:val="00BB5A89"/>
    <w:pPr>
      <w:numPr>
        <w:numId w:val="1"/>
      </w:numPr>
      <w:contextualSpacing/>
    </w:pPr>
  </w:style>
  <w:style w:type="paragraph" w:customStyle="1" w:styleId="bod">
    <w:name w:val="bod"/>
    <w:basedOn w:val="slovanseznam2"/>
    <w:rsid w:val="00527412"/>
    <w:pPr>
      <w:numPr>
        <w:numId w:val="0"/>
      </w:numPr>
      <w:tabs>
        <w:tab w:val="left" w:pos="357"/>
      </w:tabs>
      <w:ind w:left="714" w:hanging="357"/>
      <w:contextualSpacing w:val="0"/>
      <w:jc w:val="both"/>
    </w:pPr>
  </w:style>
  <w:style w:type="paragraph" w:styleId="slovanseznam2">
    <w:name w:val="List Number 2"/>
    <w:basedOn w:val="Normln"/>
    <w:uiPriority w:val="99"/>
    <w:semiHidden/>
    <w:unhideWhenUsed/>
    <w:rsid w:val="00527412"/>
    <w:pPr>
      <w:numPr>
        <w:numId w:val="1"/>
      </w:numPr>
      <w:tabs>
        <w:tab w:val="clear" w:pos="360"/>
        <w:tab w:val="num" w:pos="643"/>
      </w:tabs>
      <w:ind w:left="643" w:hanging="360"/>
      <w:contextualSpacing/>
    </w:pPr>
  </w:style>
  <w:style w:type="paragraph" w:styleId="Zhlav">
    <w:name w:val="header"/>
    <w:basedOn w:val="Normln"/>
    <w:link w:val="ZhlavChar"/>
    <w:uiPriority w:val="99"/>
    <w:unhideWhenUsed/>
    <w:rsid w:val="00F24CC7"/>
    <w:pPr>
      <w:tabs>
        <w:tab w:val="center" w:pos="4536"/>
        <w:tab w:val="right" w:pos="9072"/>
      </w:tabs>
    </w:pPr>
  </w:style>
  <w:style w:type="character" w:customStyle="1" w:styleId="ZhlavChar">
    <w:name w:val="Záhlaví Char"/>
    <w:basedOn w:val="Standardnpsmoodstavce"/>
    <w:link w:val="Zhlav"/>
    <w:uiPriority w:val="99"/>
    <w:rsid w:val="00F24CC7"/>
    <w:rPr>
      <w:rFonts w:ascii="Times New Roman" w:eastAsia="Times New Roman" w:hAnsi="Times New Roman" w:cs="Times New Roman"/>
      <w:noProof/>
      <w:sz w:val="24"/>
      <w:szCs w:val="24"/>
      <w:lang w:eastAsia="cs-CZ"/>
    </w:rPr>
  </w:style>
  <w:style w:type="paragraph" w:styleId="Zpat">
    <w:name w:val="footer"/>
    <w:basedOn w:val="Normln"/>
    <w:link w:val="ZpatChar"/>
    <w:uiPriority w:val="99"/>
    <w:unhideWhenUsed/>
    <w:rsid w:val="00F24CC7"/>
    <w:pPr>
      <w:tabs>
        <w:tab w:val="center" w:pos="4536"/>
        <w:tab w:val="right" w:pos="9072"/>
      </w:tabs>
    </w:pPr>
  </w:style>
  <w:style w:type="character" w:customStyle="1" w:styleId="ZpatChar">
    <w:name w:val="Zápatí Char"/>
    <w:basedOn w:val="Standardnpsmoodstavce"/>
    <w:link w:val="Zpat"/>
    <w:uiPriority w:val="99"/>
    <w:rsid w:val="00F24CC7"/>
    <w:rPr>
      <w:rFonts w:ascii="Times New Roman" w:eastAsia="Times New Roman" w:hAnsi="Times New Roman" w:cs="Times New Roman"/>
      <w:noProo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20</Pages>
  <Words>5313</Words>
  <Characters>31349</Characters>
  <Application>Microsoft Office Word</Application>
  <DocSecurity>0</DocSecurity>
  <Lines>261</Lines>
  <Paragraphs>73</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36589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Nedvědická Jana</dc:creator>
  <cp:keywords/>
  <dc:description/>
  <cp:lastModifiedBy>Nedvědická Jana</cp:lastModifiedBy>
  <cp:revision>4</cp:revision>
  <dcterms:created xsi:type="dcterms:W3CDTF">2024-05-14T07:35:00Z</dcterms:created>
  <dcterms:modified xsi:type="dcterms:W3CDTF">2024-05-14T08:43:00Z</dcterms:modified>
</cp:coreProperties>
</file>